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2A976" w14:textId="3933EA64" w:rsidR="003F1AA5" w:rsidRPr="00BF613D" w:rsidRDefault="004F1823" w:rsidP="003F1AA5">
      <w:pPr>
        <w:pStyle w:val="Title"/>
        <w:jc w:val="center"/>
        <w:rPr>
          <w:rFonts w:ascii="Gotham Bold" w:hAnsi="Gotham Bold"/>
          <w:b/>
          <w:color w:val="00586F"/>
          <w:sz w:val="36"/>
          <w:szCs w:val="44"/>
        </w:rPr>
      </w:pPr>
      <w:r>
        <w:rPr>
          <w:rFonts w:ascii="Gotham Bold" w:hAnsi="Gotham Bold"/>
          <w:b/>
          <w:color w:val="00586F"/>
          <w:sz w:val="36"/>
          <w:szCs w:val="44"/>
        </w:rPr>
        <w:t xml:space="preserve">Seattle Children’s Hospital </w:t>
      </w:r>
      <w:r w:rsidR="003F1AA5" w:rsidRPr="00BF613D">
        <w:rPr>
          <w:rFonts w:ascii="Gotham Bold" w:hAnsi="Gotham Bold"/>
          <w:b/>
          <w:color w:val="00586F"/>
          <w:sz w:val="36"/>
          <w:szCs w:val="44"/>
        </w:rPr>
        <w:t xml:space="preserve">MGL Hold &amp; DNA Bank </w:t>
      </w:r>
      <w:r>
        <w:rPr>
          <w:rFonts w:ascii="Gotham Bold" w:hAnsi="Gotham Bold"/>
          <w:b/>
          <w:color w:val="00586F"/>
          <w:sz w:val="36"/>
          <w:szCs w:val="44"/>
        </w:rPr>
        <w:t xml:space="preserve">   </w:t>
      </w:r>
      <w:r w:rsidR="003F1AA5" w:rsidRPr="00BF613D">
        <w:rPr>
          <w:rFonts w:ascii="Gotham Bold" w:hAnsi="Gotham Bold"/>
          <w:b/>
          <w:color w:val="00586F"/>
          <w:sz w:val="36"/>
          <w:szCs w:val="44"/>
        </w:rPr>
        <w:t>Frequently Asked Questions (FAQ)</w:t>
      </w:r>
    </w:p>
    <w:p w14:paraId="57F019A7" w14:textId="77777777" w:rsidR="003655C0" w:rsidRPr="00BF613D" w:rsidRDefault="003655C0" w:rsidP="00D140FA">
      <w:pPr>
        <w:spacing w:after="0"/>
        <w:rPr>
          <w:rFonts w:ascii="Gotham Light" w:hAnsi="Gotham Light"/>
          <w:color w:val="000000" w:themeColor="text1"/>
        </w:rPr>
      </w:pPr>
    </w:p>
    <w:p w14:paraId="7198DC5D" w14:textId="77777777" w:rsidR="00F52544" w:rsidRPr="00BF613D" w:rsidRDefault="002B71BE" w:rsidP="00D140FA">
      <w:pPr>
        <w:spacing w:after="0"/>
        <w:rPr>
          <w:rFonts w:ascii="Gotham Light" w:hAnsi="Gotham Light"/>
          <w:color w:val="00586F"/>
          <w:sz w:val="20"/>
          <w:szCs w:val="20"/>
        </w:rPr>
      </w:pPr>
      <w:r w:rsidRPr="00BF613D">
        <w:rPr>
          <w:rStyle w:val="Heading1Char"/>
          <w:rFonts w:ascii="Gotham Light" w:hAnsi="Gotham Light"/>
          <w:color w:val="00586F"/>
          <w:sz w:val="28"/>
          <w:szCs w:val="28"/>
        </w:rPr>
        <w:t>Background:</w:t>
      </w:r>
      <w:r w:rsidR="00812392" w:rsidRPr="00BF613D">
        <w:rPr>
          <w:rFonts w:ascii="Gotham Light" w:hAnsi="Gotham Light"/>
          <w:color w:val="00586F"/>
          <w:sz w:val="20"/>
          <w:szCs w:val="20"/>
        </w:rPr>
        <w:t xml:space="preserve"> </w:t>
      </w:r>
      <w:r w:rsidRPr="00BF613D">
        <w:rPr>
          <w:rFonts w:ascii="Gotham Light" w:hAnsi="Gotham Light"/>
          <w:color w:val="00586F"/>
          <w:sz w:val="20"/>
          <w:szCs w:val="20"/>
        </w:rPr>
        <w:t xml:space="preserve"> </w:t>
      </w:r>
    </w:p>
    <w:p w14:paraId="4BC36D71" w14:textId="6F8A2BBD" w:rsidR="00996CC1" w:rsidRPr="00BF613D" w:rsidRDefault="00BC5587" w:rsidP="002A466E">
      <w:pPr>
        <w:pStyle w:val="xmsonormal"/>
        <w:rPr>
          <w:rFonts w:ascii="Gotham Light" w:hAnsi="Gotham Light" w:cstheme="minorHAnsi"/>
        </w:rPr>
      </w:pPr>
      <w:r w:rsidRPr="00BF613D">
        <w:rPr>
          <w:rFonts w:ascii="Gotham Light" w:hAnsi="Gotham Light"/>
          <w:color w:val="000000" w:themeColor="text1"/>
        </w:rPr>
        <w:t>This document is intended to provide guidance on the steps involved in requesting a</w:t>
      </w:r>
      <w:r w:rsidR="00D8291F" w:rsidRPr="00BF613D">
        <w:rPr>
          <w:rFonts w:ascii="Gotham Light" w:hAnsi="Gotham Light"/>
          <w:color w:val="000000" w:themeColor="text1"/>
        </w:rPr>
        <w:t xml:space="preserve"> Molecular Genetics Lab (MGL) Hold</w:t>
      </w:r>
      <w:r w:rsidR="003F1AA5" w:rsidRPr="00BF613D">
        <w:rPr>
          <w:rFonts w:ascii="Gotham Light" w:hAnsi="Gotham Light"/>
          <w:color w:val="000000" w:themeColor="text1"/>
        </w:rPr>
        <w:t xml:space="preserve"> and details regarding DNA bank</w:t>
      </w:r>
      <w:r w:rsidR="00996CC1" w:rsidRPr="00BF613D">
        <w:rPr>
          <w:rFonts w:ascii="Gotham Light" w:hAnsi="Gotham Light"/>
          <w:color w:val="000000" w:themeColor="text1"/>
        </w:rPr>
        <w:t xml:space="preserve"> changes</w:t>
      </w:r>
      <w:r w:rsidR="003F1AA5" w:rsidRPr="00BF613D">
        <w:rPr>
          <w:rFonts w:ascii="Gotham Light" w:hAnsi="Gotham Light"/>
          <w:color w:val="000000" w:themeColor="text1"/>
        </w:rPr>
        <w:t>.</w:t>
      </w:r>
      <w:r w:rsidR="002A466E" w:rsidRPr="00BF613D">
        <w:rPr>
          <w:rFonts w:ascii="Gotham Light" w:hAnsi="Gotham Light"/>
          <w:color w:val="000000" w:themeColor="text1"/>
        </w:rPr>
        <w:t xml:space="preserve">  </w:t>
      </w:r>
      <w:r w:rsidR="002A466E" w:rsidRPr="00BF613D">
        <w:rPr>
          <w:rFonts w:ascii="Gotham Light" w:hAnsi="Gotham Light" w:cstheme="minorHAnsi"/>
        </w:rPr>
        <w:t>As of 9/1/2020</w:t>
      </w:r>
      <w:r w:rsidR="00996CC1" w:rsidRPr="00BF613D">
        <w:rPr>
          <w:rFonts w:ascii="Gotham Light" w:hAnsi="Gotham Light" w:cstheme="minorHAnsi"/>
        </w:rPr>
        <w:t>,</w:t>
      </w:r>
      <w:r w:rsidR="002A466E" w:rsidRPr="00BF613D">
        <w:rPr>
          <w:rFonts w:ascii="Gotham Light" w:hAnsi="Gotham Light" w:cstheme="minorHAnsi"/>
        </w:rPr>
        <w:t xml:space="preserve"> Seattle Children’s Laboratory discontinue</w:t>
      </w:r>
      <w:r w:rsidR="00F5603A" w:rsidRPr="00BF613D">
        <w:rPr>
          <w:rFonts w:ascii="Gotham Light" w:hAnsi="Gotham Light" w:cstheme="minorHAnsi"/>
        </w:rPr>
        <w:t>d</w:t>
      </w:r>
      <w:r w:rsidR="002A466E" w:rsidRPr="00BF613D">
        <w:rPr>
          <w:rFonts w:ascii="Gotham Light" w:hAnsi="Gotham Light" w:cstheme="minorHAnsi"/>
        </w:rPr>
        <w:t xml:space="preserve"> accepting new samples for the SCH DNA bank. </w:t>
      </w:r>
      <w:r w:rsidR="002A466E" w:rsidRPr="00BF613D">
        <w:rPr>
          <w:rFonts w:ascii="Gotham Light" w:hAnsi="Gotham Light"/>
        </w:rPr>
        <w:t>This change was necessary to comply with evolving coding and billing regulations</w:t>
      </w:r>
      <w:r w:rsidR="002A466E" w:rsidRPr="00BF613D">
        <w:rPr>
          <w:rFonts w:ascii="Gotham Light" w:hAnsi="Gotham Light" w:cstheme="minorHAnsi"/>
        </w:rPr>
        <w:t xml:space="preserve">. </w:t>
      </w:r>
      <w:r w:rsidR="00847236" w:rsidRPr="00BF613D">
        <w:rPr>
          <w:rFonts w:ascii="Gotham Light" w:hAnsi="Gotham Light" w:cstheme="minorHAnsi"/>
        </w:rPr>
        <w:t xml:space="preserve">As of 12/30/2023, </w:t>
      </w:r>
      <w:proofErr w:type="spellStart"/>
      <w:r w:rsidR="00847236" w:rsidRPr="00BF613D">
        <w:rPr>
          <w:rFonts w:ascii="Gotham Light" w:hAnsi="Gotham Light" w:cstheme="minorHAnsi"/>
        </w:rPr>
        <w:t>PreventionGenetics</w:t>
      </w:r>
      <w:proofErr w:type="spellEnd"/>
      <w:r w:rsidR="00847236" w:rsidRPr="00BF613D">
        <w:rPr>
          <w:rFonts w:ascii="Gotham Light" w:hAnsi="Gotham Light" w:cstheme="minorHAnsi"/>
        </w:rPr>
        <w:t xml:space="preserve"> also discontinued accepting new samples for their DNA bank. </w:t>
      </w:r>
    </w:p>
    <w:p w14:paraId="29792AD1" w14:textId="77777777" w:rsidR="00A47613" w:rsidRPr="00BF613D" w:rsidRDefault="00A47613" w:rsidP="002A466E">
      <w:pPr>
        <w:pStyle w:val="xmsonormal"/>
        <w:rPr>
          <w:rFonts w:ascii="Gotham Light" w:hAnsi="Gotham Light" w:cstheme="minorHAnsi"/>
        </w:rPr>
      </w:pPr>
    </w:p>
    <w:p w14:paraId="23FA7294" w14:textId="581E9CFB" w:rsidR="002A466E" w:rsidRPr="00BF613D" w:rsidRDefault="002A466E" w:rsidP="002A466E">
      <w:pPr>
        <w:pStyle w:val="xmsonormal"/>
        <w:rPr>
          <w:rFonts w:ascii="Gotham Light" w:hAnsi="Gotham Light" w:cstheme="minorHAnsi"/>
        </w:rPr>
      </w:pPr>
      <w:r w:rsidRPr="00BF613D">
        <w:rPr>
          <w:rFonts w:ascii="Gotham Light" w:hAnsi="Gotham Light" w:cstheme="minorHAnsi"/>
        </w:rPr>
        <w:t xml:space="preserve">Alternate sample types (such as saliva or buccal samples) and Molecular Genetics Lab (MGL) hold can often be used instead for complex testing and help support test coordination for families who live at a distance. DNA bank orders will be limited to SCH patients with an anticipated need for postmortem molecular genetic tests or those with extenuating circumstances noted in the criteria below.  These orders will be reviewed as part of our Laboratory Stewardship Program. </w:t>
      </w:r>
    </w:p>
    <w:p w14:paraId="6BBD2187" w14:textId="77777777" w:rsidR="002A466E" w:rsidRPr="00BF613D" w:rsidRDefault="002A466E" w:rsidP="002A466E">
      <w:pPr>
        <w:pStyle w:val="Heading1"/>
        <w:rPr>
          <w:rFonts w:ascii="Gotham Light" w:hAnsi="Gotham Light"/>
          <w:color w:val="00586F"/>
          <w:sz w:val="28"/>
          <w:szCs w:val="28"/>
        </w:rPr>
      </w:pPr>
      <w:r w:rsidRPr="00BF613D">
        <w:rPr>
          <w:rFonts w:ascii="Gotham Light" w:hAnsi="Gotham Light"/>
          <w:color w:val="00586F"/>
          <w:sz w:val="28"/>
          <w:szCs w:val="28"/>
        </w:rPr>
        <w:t xml:space="preserve">Is DNA banking still an option? </w:t>
      </w:r>
    </w:p>
    <w:p w14:paraId="466EB54A" w14:textId="099E0966" w:rsidR="007C50B5" w:rsidRPr="00BF613D" w:rsidRDefault="002A466E" w:rsidP="007C50B5">
      <w:pPr>
        <w:pStyle w:val="xmsonormal"/>
        <w:rPr>
          <w:rFonts w:ascii="Gotham Light" w:hAnsi="Gotham Light" w:cstheme="minorHAnsi"/>
        </w:rPr>
      </w:pPr>
      <w:r w:rsidRPr="00BF613D">
        <w:rPr>
          <w:rFonts w:ascii="Gotham Light" w:hAnsi="Gotham Light" w:cstheme="minorHAnsi"/>
        </w:rPr>
        <w:t xml:space="preserve">DNA banking at SCH </w:t>
      </w:r>
      <w:r w:rsidR="00B85ED7" w:rsidRPr="00BF613D">
        <w:rPr>
          <w:rFonts w:ascii="Gotham Light" w:hAnsi="Gotham Light" w:cstheme="minorHAnsi"/>
        </w:rPr>
        <w:t xml:space="preserve">and </w:t>
      </w:r>
      <w:proofErr w:type="spellStart"/>
      <w:r w:rsidR="00B85ED7" w:rsidRPr="00BF613D">
        <w:rPr>
          <w:rFonts w:ascii="Gotham Light" w:hAnsi="Gotham Light" w:cstheme="minorHAnsi"/>
        </w:rPr>
        <w:t>PreventionGenetics</w:t>
      </w:r>
      <w:proofErr w:type="spellEnd"/>
      <w:r w:rsidR="00B85ED7" w:rsidRPr="00BF613D">
        <w:rPr>
          <w:rFonts w:ascii="Gotham Light" w:hAnsi="Gotham Light" w:cstheme="minorHAnsi"/>
        </w:rPr>
        <w:t xml:space="preserve"> laboratory </w:t>
      </w:r>
      <w:r w:rsidRPr="00BF613D">
        <w:rPr>
          <w:rFonts w:ascii="Gotham Light" w:hAnsi="Gotham Light" w:cstheme="minorHAnsi"/>
        </w:rPr>
        <w:t xml:space="preserve">is no longer an option.  </w:t>
      </w:r>
      <w:r w:rsidR="00784CE7" w:rsidRPr="00BF613D">
        <w:rPr>
          <w:rFonts w:ascii="Gotham Light" w:hAnsi="Gotham Light" w:cstheme="minorHAnsi"/>
        </w:rPr>
        <w:t>As of 6/30/24</w:t>
      </w:r>
      <w:r w:rsidR="00B85ED7" w:rsidRPr="00BF613D">
        <w:rPr>
          <w:rFonts w:ascii="Gotham Light" w:hAnsi="Gotham Light" w:cstheme="minorHAnsi"/>
        </w:rPr>
        <w:t xml:space="preserve">, we have not identified an alternate DNA banking service for new specimens.  </w:t>
      </w:r>
      <w:r w:rsidRPr="00BF613D">
        <w:rPr>
          <w:rFonts w:ascii="Gotham Light" w:hAnsi="Gotham Light" w:cstheme="minorHAnsi"/>
        </w:rPr>
        <w:t xml:space="preserve"> </w:t>
      </w:r>
      <w:r w:rsidR="00B85ED7" w:rsidRPr="00BF613D">
        <w:rPr>
          <w:rFonts w:ascii="Gotham Light" w:hAnsi="Gotham Light" w:cstheme="minorHAnsi"/>
        </w:rPr>
        <w:t xml:space="preserve">Once we have identified an alternate </w:t>
      </w:r>
      <w:r w:rsidRPr="00BF613D">
        <w:rPr>
          <w:rFonts w:ascii="Gotham Light" w:hAnsi="Gotham Light" w:cstheme="minorHAnsi"/>
        </w:rPr>
        <w:t>DNA banking service</w:t>
      </w:r>
      <w:r w:rsidR="00B85ED7" w:rsidRPr="00BF613D">
        <w:rPr>
          <w:rFonts w:ascii="Gotham Light" w:hAnsi="Gotham Light" w:cstheme="minorHAnsi"/>
        </w:rPr>
        <w:t>, then it can be utilized</w:t>
      </w:r>
      <w:r w:rsidRPr="00BF613D">
        <w:rPr>
          <w:rFonts w:ascii="Gotham Light" w:hAnsi="Gotham Light" w:cstheme="minorHAnsi"/>
        </w:rPr>
        <w:t xml:space="preserve"> in </w:t>
      </w:r>
      <w:r w:rsidR="00A47613" w:rsidRPr="00BF613D">
        <w:rPr>
          <w:rFonts w:ascii="Gotham Light" w:hAnsi="Gotham Light" w:cstheme="minorHAnsi"/>
        </w:rPr>
        <w:t xml:space="preserve">the </w:t>
      </w:r>
      <w:r w:rsidRPr="00BF613D">
        <w:rPr>
          <w:rFonts w:ascii="Gotham Light" w:hAnsi="Gotham Light" w:cstheme="minorHAnsi"/>
        </w:rPr>
        <w:t>select circumstances</w:t>
      </w:r>
      <w:r w:rsidR="00A47613" w:rsidRPr="00BF613D">
        <w:rPr>
          <w:rFonts w:ascii="Gotham Light" w:hAnsi="Gotham Light" w:cstheme="minorHAnsi"/>
        </w:rPr>
        <w:t xml:space="preserve"> defined in the “Comparison of MGL Hold and DNA Banking” table below in this document.  </w:t>
      </w:r>
      <w:r w:rsidR="007C50B5" w:rsidRPr="00BF613D">
        <w:rPr>
          <w:rFonts w:ascii="Gotham Light" w:hAnsi="Gotham Light" w:cstheme="minorHAnsi"/>
        </w:rPr>
        <w:t xml:space="preserve">Families </w:t>
      </w:r>
      <w:r w:rsidR="00B85ED7" w:rsidRPr="00BF613D">
        <w:rPr>
          <w:rFonts w:ascii="Gotham Light" w:hAnsi="Gotham Light" w:cstheme="minorHAnsi"/>
        </w:rPr>
        <w:t xml:space="preserve">may </w:t>
      </w:r>
      <w:r w:rsidR="007C50B5" w:rsidRPr="00BF613D">
        <w:rPr>
          <w:rFonts w:ascii="Gotham Light" w:hAnsi="Gotham Light" w:cstheme="minorHAnsi"/>
        </w:rPr>
        <w:t xml:space="preserve">also have the option of working directly with </w:t>
      </w:r>
      <w:r w:rsidR="00B85ED7" w:rsidRPr="00BF613D">
        <w:rPr>
          <w:rFonts w:ascii="Gotham Light" w:hAnsi="Gotham Light" w:cstheme="minorHAnsi"/>
        </w:rPr>
        <w:t>the alternate DNA banking service</w:t>
      </w:r>
      <w:r w:rsidR="007C50B5" w:rsidRPr="00BF613D">
        <w:rPr>
          <w:rFonts w:ascii="Gotham Light" w:hAnsi="Gotham Light" w:cstheme="minorHAnsi"/>
        </w:rPr>
        <w:t>, if desired.</w:t>
      </w:r>
    </w:p>
    <w:p w14:paraId="05C8CF0B" w14:textId="49E3B3E3" w:rsidR="002A466E" w:rsidRPr="00BF613D" w:rsidRDefault="002A466E" w:rsidP="002A466E">
      <w:pPr>
        <w:pStyle w:val="Heading1"/>
        <w:rPr>
          <w:rFonts w:ascii="Gotham Light" w:eastAsia="Times New Roman" w:hAnsi="Gotham Light"/>
          <w:color w:val="00586F"/>
          <w:sz w:val="28"/>
          <w:szCs w:val="28"/>
        </w:rPr>
      </w:pPr>
      <w:r w:rsidRPr="00BF613D">
        <w:rPr>
          <w:rFonts w:ascii="Gotham Light" w:hAnsi="Gotham Light"/>
          <w:color w:val="00586F"/>
          <w:sz w:val="28"/>
          <w:szCs w:val="28"/>
        </w:rPr>
        <w:t>How does this change affect patients who already have DNA banked?</w:t>
      </w:r>
    </w:p>
    <w:p w14:paraId="3AC9A335" w14:textId="3AD2C5C7" w:rsidR="002A466E" w:rsidRPr="00BF613D" w:rsidRDefault="002A466E" w:rsidP="002A466E">
      <w:pPr>
        <w:pStyle w:val="xmsonormal"/>
        <w:rPr>
          <w:rFonts w:ascii="Gotham Light" w:hAnsi="Gotham Light" w:cstheme="minorHAnsi"/>
        </w:rPr>
      </w:pPr>
      <w:r w:rsidRPr="00BF613D">
        <w:rPr>
          <w:rFonts w:ascii="Gotham Light" w:hAnsi="Gotham Light" w:cstheme="minorHAnsi"/>
        </w:rPr>
        <w:t xml:space="preserve">This policy will </w:t>
      </w:r>
      <w:r w:rsidRPr="00BF613D">
        <w:rPr>
          <w:rFonts w:ascii="Gotham Light" w:hAnsi="Gotham Light" w:cstheme="minorHAnsi"/>
          <w:u w:val="single"/>
        </w:rPr>
        <w:t>not</w:t>
      </w:r>
      <w:r w:rsidRPr="00BF613D">
        <w:rPr>
          <w:rFonts w:ascii="Gotham Light" w:hAnsi="Gotham Light" w:cstheme="minorHAnsi"/>
        </w:rPr>
        <w:t xml:space="preserve"> affect patients who have DNA stored in the SCH DNA bank prior to 9/1/2020: these samples will continue to be stored</w:t>
      </w:r>
      <w:r w:rsidR="00F42656" w:rsidRPr="00BF613D">
        <w:rPr>
          <w:rFonts w:ascii="Gotham Light" w:hAnsi="Gotham Light" w:cstheme="minorHAnsi"/>
        </w:rPr>
        <w:t xml:space="preserve"> at Seattle Children</w:t>
      </w:r>
      <w:r w:rsidR="00A47613" w:rsidRPr="00BF613D">
        <w:rPr>
          <w:rFonts w:ascii="Gotham Light" w:hAnsi="Gotham Light" w:cstheme="minorHAnsi"/>
        </w:rPr>
        <w:t>’</w:t>
      </w:r>
      <w:r w:rsidR="00F42656" w:rsidRPr="00BF613D">
        <w:rPr>
          <w:rFonts w:ascii="Gotham Light" w:hAnsi="Gotham Light" w:cstheme="minorHAnsi"/>
        </w:rPr>
        <w:t>s</w:t>
      </w:r>
      <w:r w:rsidRPr="00BF613D">
        <w:rPr>
          <w:rFonts w:ascii="Gotham Light" w:hAnsi="Gotham Light" w:cstheme="minorHAnsi"/>
        </w:rPr>
        <w:t xml:space="preserve"> for a minimum of 10 years from their respective order date, or until the sample is depleted.</w:t>
      </w:r>
    </w:p>
    <w:p w14:paraId="2BC5A1D9" w14:textId="17CC76CB" w:rsidR="00847236" w:rsidRPr="00BF613D" w:rsidRDefault="00847236" w:rsidP="002A466E">
      <w:pPr>
        <w:pStyle w:val="xmsonormal"/>
        <w:rPr>
          <w:rFonts w:ascii="Gotham Light" w:hAnsi="Gotham Light" w:cstheme="minorHAnsi"/>
        </w:rPr>
      </w:pPr>
      <w:r w:rsidRPr="00BF613D">
        <w:rPr>
          <w:rFonts w:ascii="Gotham Light" w:hAnsi="Gotham Light" w:cstheme="minorHAnsi"/>
        </w:rPr>
        <w:t xml:space="preserve">This policy will </w:t>
      </w:r>
      <w:r w:rsidRPr="00BF613D">
        <w:rPr>
          <w:rFonts w:ascii="Gotham Light" w:hAnsi="Gotham Light" w:cstheme="minorHAnsi"/>
          <w:u w:val="single"/>
        </w:rPr>
        <w:t>not</w:t>
      </w:r>
      <w:r w:rsidRPr="00BF613D">
        <w:rPr>
          <w:rFonts w:ascii="Gotham Light" w:hAnsi="Gotham Light" w:cstheme="minorHAnsi"/>
        </w:rPr>
        <w:t xml:space="preserve"> affect patients who have DNA stored in the </w:t>
      </w:r>
      <w:proofErr w:type="spellStart"/>
      <w:r w:rsidRPr="00BF613D">
        <w:rPr>
          <w:rFonts w:ascii="Gotham Light" w:hAnsi="Gotham Light" w:cstheme="minorHAnsi"/>
        </w:rPr>
        <w:t>PreventionGenetics</w:t>
      </w:r>
      <w:proofErr w:type="spellEnd"/>
      <w:r w:rsidRPr="00BF613D">
        <w:rPr>
          <w:rFonts w:ascii="Gotham Light" w:hAnsi="Gotham Light" w:cstheme="minorHAnsi"/>
        </w:rPr>
        <w:t xml:space="preserve"> DNA bank prior to 12/30/2023: these samples will continue to be stored at </w:t>
      </w:r>
      <w:proofErr w:type="spellStart"/>
      <w:r w:rsidRPr="00BF613D">
        <w:rPr>
          <w:rFonts w:ascii="Gotham Light" w:hAnsi="Gotham Light" w:cstheme="minorHAnsi"/>
        </w:rPr>
        <w:t>PreventionGenetics</w:t>
      </w:r>
      <w:proofErr w:type="spellEnd"/>
      <w:r w:rsidRPr="00BF613D">
        <w:rPr>
          <w:rFonts w:ascii="Gotham Light" w:hAnsi="Gotham Light" w:cstheme="minorHAnsi"/>
        </w:rPr>
        <w:t xml:space="preserve"> per </w:t>
      </w:r>
      <w:proofErr w:type="spellStart"/>
      <w:r w:rsidR="00A47613" w:rsidRPr="00BF613D">
        <w:rPr>
          <w:rFonts w:ascii="Gotham Light" w:hAnsi="Gotham Light" w:cstheme="minorHAnsi"/>
        </w:rPr>
        <w:t>PreventionGenetics</w:t>
      </w:r>
      <w:proofErr w:type="spellEnd"/>
      <w:r w:rsidR="00A47613" w:rsidRPr="00BF613D">
        <w:rPr>
          <w:rFonts w:ascii="Gotham Light" w:hAnsi="Gotham Light" w:cstheme="minorHAnsi"/>
        </w:rPr>
        <w:t xml:space="preserve">’ </w:t>
      </w:r>
      <w:r w:rsidRPr="00BF613D">
        <w:rPr>
          <w:rFonts w:ascii="Gotham Light" w:hAnsi="Gotham Light" w:cstheme="minorHAnsi"/>
        </w:rPr>
        <w:t xml:space="preserve">contracts (generally for a minimum of 40 years from their respective order date, or until the sample is depleted. Refer to </w:t>
      </w:r>
      <w:proofErr w:type="spellStart"/>
      <w:r w:rsidRPr="00BF613D">
        <w:rPr>
          <w:rFonts w:ascii="Gotham Light" w:hAnsi="Gotham Light" w:cstheme="minorHAnsi"/>
        </w:rPr>
        <w:t>PreventionGenetics</w:t>
      </w:r>
      <w:proofErr w:type="spellEnd"/>
      <w:r w:rsidRPr="00BF613D">
        <w:rPr>
          <w:rFonts w:ascii="Gotham Light" w:hAnsi="Gotham Light" w:cstheme="minorHAnsi"/>
        </w:rPr>
        <w:t>’ website for additional information).</w:t>
      </w:r>
    </w:p>
    <w:p w14:paraId="3F58DCE8" w14:textId="3C85A79B" w:rsidR="00A47613" w:rsidRPr="00BF613D" w:rsidRDefault="00F52544" w:rsidP="00A47613">
      <w:pPr>
        <w:pStyle w:val="Heading1"/>
        <w:rPr>
          <w:rFonts w:ascii="Gotham Light" w:hAnsi="Gotham Light"/>
          <w:color w:val="00586F"/>
          <w:sz w:val="28"/>
          <w:szCs w:val="28"/>
        </w:rPr>
      </w:pPr>
      <w:r w:rsidRPr="00BF613D">
        <w:rPr>
          <w:rFonts w:ascii="Gotham Light" w:hAnsi="Gotham Light"/>
          <w:color w:val="00586F"/>
          <w:sz w:val="28"/>
          <w:szCs w:val="28"/>
        </w:rPr>
        <w:t>Comparison of MGL Hold and DNA Banking</w:t>
      </w:r>
    </w:p>
    <w:tbl>
      <w:tblPr>
        <w:tblStyle w:val="TableGrid1"/>
        <w:tblW w:w="11347" w:type="dxa"/>
        <w:jc w:val="center"/>
        <w:tblLook w:val="04A0" w:firstRow="1" w:lastRow="0" w:firstColumn="1" w:lastColumn="0" w:noHBand="0" w:noVBand="1"/>
      </w:tblPr>
      <w:tblGrid>
        <w:gridCol w:w="1143"/>
        <w:gridCol w:w="5237"/>
        <w:gridCol w:w="4967"/>
      </w:tblGrid>
      <w:tr w:rsidR="006A432B" w:rsidRPr="00BF613D" w14:paraId="63D4976C" w14:textId="77777777" w:rsidTr="00A47613">
        <w:trPr>
          <w:jc w:val="center"/>
        </w:trPr>
        <w:tc>
          <w:tcPr>
            <w:tcW w:w="1051" w:type="dxa"/>
          </w:tcPr>
          <w:p w14:paraId="586CD297" w14:textId="77777777" w:rsidR="006A432B" w:rsidRPr="00BF613D" w:rsidRDefault="006A432B" w:rsidP="00F52544">
            <w:pPr>
              <w:rPr>
                <w:rFonts w:ascii="Gotham Light" w:hAnsi="Gotham Light" w:cstheme="minorHAnsi"/>
                <w:b/>
                <w:color w:val="000000" w:themeColor="text1"/>
                <w:sz w:val="20"/>
                <w:szCs w:val="20"/>
              </w:rPr>
            </w:pPr>
          </w:p>
        </w:tc>
        <w:tc>
          <w:tcPr>
            <w:tcW w:w="5253" w:type="dxa"/>
          </w:tcPr>
          <w:p w14:paraId="61D7DCD2" w14:textId="77777777" w:rsidR="006A432B" w:rsidRPr="00BF613D" w:rsidRDefault="006A432B" w:rsidP="00B4471F">
            <w:pPr>
              <w:rPr>
                <w:rFonts w:ascii="Gotham Light" w:hAnsi="Gotham Light" w:cstheme="minorHAnsi"/>
                <w:b/>
                <w:color w:val="000000" w:themeColor="text1"/>
                <w:sz w:val="20"/>
                <w:szCs w:val="20"/>
              </w:rPr>
            </w:pPr>
            <w:r w:rsidRPr="00BF613D">
              <w:rPr>
                <w:rFonts w:ascii="Gotham Light" w:hAnsi="Gotham Light" w:cstheme="minorHAnsi"/>
                <w:b/>
                <w:color w:val="000000" w:themeColor="text1"/>
                <w:sz w:val="20"/>
                <w:szCs w:val="20"/>
              </w:rPr>
              <w:t>MGL Hold</w:t>
            </w:r>
          </w:p>
        </w:tc>
        <w:tc>
          <w:tcPr>
            <w:tcW w:w="5043" w:type="dxa"/>
          </w:tcPr>
          <w:p w14:paraId="313F48B2" w14:textId="77777777" w:rsidR="006A432B" w:rsidRPr="00BF613D" w:rsidRDefault="006A432B" w:rsidP="00B4471F">
            <w:pPr>
              <w:rPr>
                <w:rFonts w:ascii="Gotham Light" w:hAnsi="Gotham Light" w:cstheme="minorHAnsi"/>
                <w:b/>
                <w:color w:val="000000" w:themeColor="text1"/>
                <w:sz w:val="20"/>
                <w:szCs w:val="20"/>
              </w:rPr>
            </w:pPr>
            <w:r w:rsidRPr="00BF613D">
              <w:rPr>
                <w:rFonts w:ascii="Gotham Light" w:hAnsi="Gotham Light" w:cstheme="minorHAnsi"/>
                <w:b/>
                <w:color w:val="000000" w:themeColor="text1"/>
                <w:sz w:val="20"/>
                <w:szCs w:val="20"/>
              </w:rPr>
              <w:t>DNA Banking Send out Test</w:t>
            </w:r>
          </w:p>
        </w:tc>
      </w:tr>
      <w:tr w:rsidR="006A432B" w:rsidRPr="00BF613D" w14:paraId="2481DF65" w14:textId="77777777" w:rsidTr="00A47613">
        <w:trPr>
          <w:jc w:val="center"/>
        </w:trPr>
        <w:tc>
          <w:tcPr>
            <w:tcW w:w="1051" w:type="dxa"/>
          </w:tcPr>
          <w:p w14:paraId="6DC2045D" w14:textId="77777777" w:rsidR="006A432B" w:rsidRPr="00BF613D" w:rsidRDefault="006A432B" w:rsidP="00B4471F">
            <w:pPr>
              <w:rPr>
                <w:rFonts w:ascii="Gotham Light" w:hAnsi="Gotham Light" w:cstheme="minorHAnsi"/>
                <w:b/>
                <w:color w:val="000000" w:themeColor="text1"/>
                <w:sz w:val="20"/>
                <w:szCs w:val="20"/>
              </w:rPr>
            </w:pPr>
            <w:r w:rsidRPr="00BF613D">
              <w:rPr>
                <w:rFonts w:ascii="Gotham Light" w:hAnsi="Gotham Light" w:cstheme="minorHAnsi"/>
                <w:b/>
                <w:color w:val="000000" w:themeColor="text1"/>
                <w:sz w:val="20"/>
                <w:szCs w:val="20"/>
              </w:rPr>
              <w:t>Criteria</w:t>
            </w:r>
          </w:p>
        </w:tc>
        <w:tc>
          <w:tcPr>
            <w:tcW w:w="5253" w:type="dxa"/>
          </w:tcPr>
          <w:p w14:paraId="0AD67C01" w14:textId="3EE8EA17" w:rsidR="00237D14" w:rsidRPr="00BF613D" w:rsidRDefault="006A432B" w:rsidP="00A47613">
            <w:pPr>
              <w:ind w:left="191" w:hanging="187"/>
              <w:rPr>
                <w:rFonts w:ascii="Gotham Light" w:eastAsia="Times New Roman" w:hAnsi="Gotham Light" w:cstheme="minorHAnsi"/>
                <w:i/>
                <w:iCs/>
                <w:color w:val="000000" w:themeColor="text1"/>
                <w:sz w:val="20"/>
                <w:szCs w:val="20"/>
              </w:rPr>
            </w:pPr>
            <w:r w:rsidRPr="00BF613D">
              <w:rPr>
                <w:rFonts w:ascii="Gotham Light" w:eastAsia="Times New Roman" w:hAnsi="Gotham Light" w:cstheme="minorHAnsi"/>
                <w:color w:val="000000" w:themeColor="text1"/>
                <w:sz w:val="20"/>
                <w:szCs w:val="20"/>
              </w:rPr>
              <w:t>• </w:t>
            </w:r>
            <w:r w:rsidR="00237D14" w:rsidRPr="00BF613D">
              <w:rPr>
                <w:rFonts w:ascii="Gotham Light" w:eastAsia="Times New Roman" w:hAnsi="Gotham Light" w:cstheme="minorHAnsi"/>
                <w:color w:val="000000" w:themeColor="text1"/>
                <w:sz w:val="20"/>
                <w:szCs w:val="20"/>
              </w:rPr>
              <w:t xml:space="preserve">One </w:t>
            </w:r>
            <w:r w:rsidR="00237D14" w:rsidRPr="00BF613D">
              <w:rPr>
                <w:rFonts w:ascii="Gotham Light" w:eastAsia="Times New Roman" w:hAnsi="Gotham Light" w:cstheme="minorHAnsi"/>
                <w:color w:val="000000" w:themeColor="text1"/>
                <w:sz w:val="20"/>
                <w:szCs w:val="20"/>
                <w:u w:val="single"/>
              </w:rPr>
              <w:t>specific</w:t>
            </w:r>
            <w:r w:rsidR="00237D14" w:rsidRPr="00BF613D">
              <w:rPr>
                <w:rFonts w:ascii="Gotham Light" w:eastAsia="Times New Roman" w:hAnsi="Gotham Light" w:cstheme="minorHAnsi"/>
                <w:color w:val="000000" w:themeColor="text1"/>
                <w:sz w:val="20"/>
                <w:szCs w:val="20"/>
              </w:rPr>
              <w:t xml:space="preserve"> </w:t>
            </w:r>
            <w:r w:rsidR="00847236" w:rsidRPr="00BF613D">
              <w:rPr>
                <w:rFonts w:ascii="Gotham Light" w:eastAsia="Times New Roman" w:hAnsi="Gotham Light" w:cstheme="minorHAnsi"/>
                <w:color w:val="000000" w:themeColor="text1"/>
                <w:sz w:val="20"/>
                <w:szCs w:val="20"/>
              </w:rPr>
              <w:t xml:space="preserve">clinical </w:t>
            </w:r>
            <w:r w:rsidR="00237D14" w:rsidRPr="00BF613D">
              <w:rPr>
                <w:rFonts w:ascii="Gotham Light" w:eastAsia="Times New Roman" w:hAnsi="Gotham Light" w:cstheme="minorHAnsi"/>
                <w:color w:val="000000" w:themeColor="text1"/>
                <w:sz w:val="20"/>
                <w:szCs w:val="20"/>
              </w:rPr>
              <w:t>molecular test is planned</w:t>
            </w:r>
            <w:r w:rsidR="00AC2BA2" w:rsidRPr="00BF613D">
              <w:rPr>
                <w:rFonts w:ascii="Gotham Light" w:eastAsia="Times New Roman" w:hAnsi="Gotham Light" w:cstheme="minorHAnsi"/>
                <w:color w:val="000000" w:themeColor="text1"/>
                <w:sz w:val="20"/>
                <w:szCs w:val="20"/>
              </w:rPr>
              <w:t xml:space="preserve">, </w:t>
            </w:r>
            <w:r w:rsidR="00AC2BA2" w:rsidRPr="00BF613D">
              <w:rPr>
                <w:rFonts w:ascii="Gotham Light" w:eastAsia="Times New Roman" w:hAnsi="Gotham Light" w:cstheme="minorHAnsi"/>
                <w:i/>
                <w:iCs/>
                <w:color w:val="000000" w:themeColor="text1"/>
                <w:sz w:val="20"/>
                <w:szCs w:val="20"/>
              </w:rPr>
              <w:t>and</w:t>
            </w:r>
          </w:p>
          <w:p w14:paraId="143CA466" w14:textId="4BA4C2EB" w:rsidR="00F5603A" w:rsidRPr="00BF613D" w:rsidRDefault="00F5603A" w:rsidP="00A47613">
            <w:pPr>
              <w:pStyle w:val="ListParagraph"/>
              <w:numPr>
                <w:ilvl w:val="0"/>
                <w:numId w:val="12"/>
              </w:numPr>
              <w:ind w:left="191" w:hanging="171"/>
              <w:rPr>
                <w:rFonts w:ascii="Gotham Light" w:eastAsia="Times New Roman" w:hAnsi="Gotham Light" w:cstheme="minorHAnsi"/>
                <w:i/>
                <w:iCs/>
                <w:color w:val="000000" w:themeColor="text1"/>
                <w:sz w:val="20"/>
                <w:szCs w:val="20"/>
              </w:rPr>
            </w:pPr>
            <w:r w:rsidRPr="00BF613D">
              <w:rPr>
                <w:rFonts w:ascii="Gotham Light" w:eastAsia="Times New Roman" w:hAnsi="Gotham Light" w:cstheme="minorHAnsi"/>
                <w:color w:val="000000" w:themeColor="text1"/>
                <w:sz w:val="20"/>
                <w:szCs w:val="20"/>
              </w:rPr>
              <w:t xml:space="preserve">An alternate specimen collection (e.g., saliva, buccal) is not an option for the requested test, </w:t>
            </w:r>
            <w:r w:rsidRPr="00BF613D">
              <w:rPr>
                <w:rFonts w:ascii="Gotham Light" w:eastAsia="Times New Roman" w:hAnsi="Gotham Light" w:cstheme="minorHAnsi"/>
                <w:i/>
                <w:iCs/>
                <w:color w:val="000000" w:themeColor="text1"/>
                <w:sz w:val="20"/>
                <w:szCs w:val="20"/>
              </w:rPr>
              <w:t>and</w:t>
            </w:r>
          </w:p>
          <w:p w14:paraId="5A2BEDBE" w14:textId="03720289" w:rsidR="006A432B" w:rsidRPr="00BF613D" w:rsidRDefault="006A432B" w:rsidP="00A47613">
            <w:pPr>
              <w:pStyle w:val="ListParagraph"/>
              <w:numPr>
                <w:ilvl w:val="0"/>
                <w:numId w:val="11"/>
              </w:numPr>
              <w:ind w:left="191" w:hanging="136"/>
              <w:rPr>
                <w:rFonts w:ascii="Gotham Light" w:eastAsia="Times New Roman" w:hAnsi="Gotham Light" w:cstheme="minorHAnsi"/>
                <w:color w:val="000000" w:themeColor="text1"/>
                <w:sz w:val="20"/>
                <w:szCs w:val="20"/>
              </w:rPr>
            </w:pPr>
            <w:r w:rsidRPr="00BF613D">
              <w:rPr>
                <w:rFonts w:ascii="Gotham Light" w:eastAsia="Times New Roman" w:hAnsi="Gotham Light" w:cstheme="minorHAnsi"/>
                <w:color w:val="000000" w:themeColor="text1"/>
                <w:sz w:val="20"/>
                <w:szCs w:val="20"/>
              </w:rPr>
              <w:t>It is a significant hardship to defer sample collection until insurance preauthorization can be obtained (e.g., family cannot return to a SCH lab for phlebotomy in necessary timeframe after preauthorization obtained (</w:t>
            </w:r>
            <w:r w:rsidRPr="00BF613D">
              <w:rPr>
                <w:rFonts w:ascii="Gotham Light" w:hAnsi="Gotham Light" w:cstheme="minorHAnsi"/>
                <w:color w:val="000000" w:themeColor="text1"/>
                <w:sz w:val="20"/>
                <w:szCs w:val="20"/>
              </w:rPr>
              <w:t xml:space="preserve">see </w:t>
            </w:r>
            <w:r w:rsidR="00847236" w:rsidRPr="00BF613D">
              <w:rPr>
                <w:rFonts w:ascii="Gotham Light" w:hAnsi="Gotham Light" w:cstheme="minorHAnsi"/>
                <w:color w:val="000000" w:themeColor="text1"/>
                <w:sz w:val="20"/>
                <w:szCs w:val="20"/>
              </w:rPr>
              <w:t xml:space="preserve">Lab Test Catalog </w:t>
            </w:r>
            <w:hyperlink r:id="rId8" w:history="1">
              <w:r w:rsidR="00A47613" w:rsidRPr="00BF613D">
                <w:rPr>
                  <w:rStyle w:val="Hyperlink"/>
                  <w:rFonts w:ascii="Gotham Light" w:hAnsi="Gotham Light" w:cstheme="minorHAnsi"/>
                  <w:sz w:val="20"/>
                  <w:szCs w:val="20"/>
                </w:rPr>
                <w:t>https://seattlechildrenslab.testcatalog.org/</w:t>
              </w:r>
            </w:hyperlink>
            <w:r w:rsidRPr="00BF613D">
              <w:rPr>
                <w:rFonts w:ascii="Gotham Light" w:hAnsi="Gotham Light" w:cstheme="minorHAnsi"/>
                <w:color w:val="000000" w:themeColor="text1"/>
                <w:sz w:val="20"/>
                <w:szCs w:val="20"/>
              </w:rPr>
              <w:t xml:space="preserve"> for all locations and extended/weekend hours!</w:t>
            </w:r>
            <w:r w:rsidRPr="00BF613D">
              <w:rPr>
                <w:rFonts w:ascii="Gotham Light" w:eastAsia="Times New Roman" w:hAnsi="Gotham Light" w:cstheme="minorHAnsi"/>
                <w:color w:val="000000" w:themeColor="text1"/>
                <w:sz w:val="20"/>
                <w:szCs w:val="20"/>
              </w:rPr>
              <w:t xml:space="preserve">), </w:t>
            </w:r>
            <w:r w:rsidRPr="00BF613D">
              <w:rPr>
                <w:rFonts w:ascii="Gotham Light" w:eastAsia="Times New Roman" w:hAnsi="Gotham Light" w:cstheme="minorHAnsi"/>
                <w:i/>
                <w:color w:val="000000" w:themeColor="text1"/>
                <w:sz w:val="20"/>
                <w:szCs w:val="20"/>
              </w:rPr>
              <w:t>and</w:t>
            </w:r>
          </w:p>
          <w:p w14:paraId="624C6F3C" w14:textId="77777777" w:rsidR="006A432B" w:rsidRPr="00BF613D" w:rsidRDefault="006A432B" w:rsidP="00A47613">
            <w:pPr>
              <w:ind w:left="191" w:hanging="187"/>
              <w:rPr>
                <w:rFonts w:ascii="Gotham Light" w:eastAsia="Times New Roman" w:hAnsi="Gotham Light" w:cstheme="minorHAnsi"/>
                <w:color w:val="000000" w:themeColor="text1"/>
                <w:sz w:val="20"/>
                <w:szCs w:val="20"/>
              </w:rPr>
            </w:pPr>
            <w:r w:rsidRPr="00BF613D">
              <w:rPr>
                <w:rFonts w:ascii="Gotham Light" w:eastAsia="Times New Roman" w:hAnsi="Gotham Light" w:cstheme="minorHAnsi"/>
                <w:color w:val="000000" w:themeColor="text1"/>
                <w:sz w:val="20"/>
                <w:szCs w:val="20"/>
              </w:rPr>
              <w:t>• </w:t>
            </w:r>
            <w:r w:rsidRPr="00BF613D">
              <w:rPr>
                <w:rFonts w:ascii="Gotham Light" w:hAnsi="Gotham Light" w:cstheme="minorHAnsi"/>
                <w:sz w:val="20"/>
                <w:szCs w:val="20"/>
              </w:rPr>
              <w:t>DNA banking criteria are not met.</w:t>
            </w:r>
          </w:p>
        </w:tc>
        <w:tc>
          <w:tcPr>
            <w:tcW w:w="5043" w:type="dxa"/>
          </w:tcPr>
          <w:p w14:paraId="29542924" w14:textId="77777777" w:rsidR="006A432B" w:rsidRPr="00BF613D" w:rsidRDefault="006A432B" w:rsidP="00A47613">
            <w:pPr>
              <w:pStyle w:val="xmsolistparagraph"/>
              <w:numPr>
                <w:ilvl w:val="0"/>
                <w:numId w:val="4"/>
              </w:numPr>
              <w:ind w:left="257" w:hanging="180"/>
              <w:rPr>
                <w:rFonts w:ascii="Gotham Light" w:hAnsi="Gotham Light" w:cstheme="minorHAnsi"/>
                <w:sz w:val="20"/>
                <w:szCs w:val="20"/>
              </w:rPr>
            </w:pPr>
            <w:r w:rsidRPr="00BF613D">
              <w:rPr>
                <w:rFonts w:ascii="Gotham Light" w:hAnsi="Gotham Light" w:cstheme="minorHAnsi"/>
                <w:sz w:val="20"/>
                <w:szCs w:val="20"/>
              </w:rPr>
              <w:t>SCH patients who are in the perimortem period; or</w:t>
            </w:r>
          </w:p>
          <w:p w14:paraId="1CBB037A" w14:textId="77777777" w:rsidR="006A432B" w:rsidRPr="00BF613D" w:rsidRDefault="006A432B" w:rsidP="00A47613">
            <w:pPr>
              <w:pStyle w:val="xmsolistparagraph"/>
              <w:numPr>
                <w:ilvl w:val="0"/>
                <w:numId w:val="4"/>
              </w:numPr>
              <w:ind w:left="257" w:hanging="180"/>
              <w:rPr>
                <w:rFonts w:ascii="Gotham Light" w:hAnsi="Gotham Light" w:cstheme="minorHAnsi"/>
                <w:sz w:val="20"/>
                <w:szCs w:val="20"/>
              </w:rPr>
            </w:pPr>
            <w:r w:rsidRPr="00BF613D">
              <w:rPr>
                <w:rFonts w:ascii="Gotham Light" w:hAnsi="Gotham Light" w:cstheme="minorHAnsi"/>
                <w:sz w:val="20"/>
                <w:szCs w:val="20"/>
              </w:rPr>
              <w:t>SCH patients who will have compromised ability to have medically necessary germline molecular genetic blood tests; or</w:t>
            </w:r>
          </w:p>
          <w:p w14:paraId="4D81180A" w14:textId="77777777" w:rsidR="006A432B" w:rsidRPr="00BF613D" w:rsidRDefault="006A432B" w:rsidP="00A47613">
            <w:pPr>
              <w:pStyle w:val="xmsolistparagraph"/>
              <w:numPr>
                <w:ilvl w:val="0"/>
                <w:numId w:val="4"/>
              </w:numPr>
              <w:ind w:left="257" w:hanging="180"/>
              <w:rPr>
                <w:rFonts w:ascii="Gotham Light" w:hAnsi="Gotham Light" w:cstheme="minorHAnsi"/>
                <w:sz w:val="20"/>
                <w:szCs w:val="20"/>
              </w:rPr>
            </w:pPr>
            <w:r w:rsidRPr="00BF613D">
              <w:rPr>
                <w:rFonts w:ascii="Gotham Light" w:hAnsi="Gotham Light" w:cstheme="minorHAnsi"/>
                <w:sz w:val="20"/>
                <w:szCs w:val="20"/>
              </w:rPr>
              <w:t>Patients with SCH Pathology services for autopsy, fetal pathology, or products of conception; or</w:t>
            </w:r>
          </w:p>
          <w:p w14:paraId="6C8424BA" w14:textId="77777777" w:rsidR="006A432B" w:rsidRPr="00BF613D" w:rsidRDefault="006A432B" w:rsidP="00A47613">
            <w:pPr>
              <w:pStyle w:val="xmsolistparagraph"/>
              <w:numPr>
                <w:ilvl w:val="0"/>
                <w:numId w:val="4"/>
              </w:numPr>
              <w:ind w:left="257" w:hanging="187"/>
              <w:rPr>
                <w:rFonts w:ascii="Gotham Light" w:hAnsi="Gotham Light" w:cstheme="minorHAnsi"/>
                <w:sz w:val="20"/>
                <w:szCs w:val="20"/>
              </w:rPr>
            </w:pPr>
            <w:r w:rsidRPr="00BF613D">
              <w:rPr>
                <w:rFonts w:ascii="Gotham Light" w:hAnsi="Gotham Light" w:cstheme="minorHAnsi"/>
                <w:sz w:val="20"/>
                <w:szCs w:val="20"/>
              </w:rPr>
              <w:t>DNA banking requests for cells cultured at SCH cytogenetics laboratory, ordered by an SCH provider</w:t>
            </w:r>
          </w:p>
        </w:tc>
      </w:tr>
      <w:tr w:rsidR="006A432B" w:rsidRPr="00BF613D" w14:paraId="293DCC21" w14:textId="77777777" w:rsidTr="00784CE7">
        <w:trPr>
          <w:jc w:val="center"/>
        </w:trPr>
        <w:tc>
          <w:tcPr>
            <w:tcW w:w="1051" w:type="dxa"/>
          </w:tcPr>
          <w:p w14:paraId="2563E7DB" w14:textId="77777777" w:rsidR="006A432B" w:rsidRPr="00BF613D" w:rsidRDefault="006A432B" w:rsidP="00B4471F">
            <w:pPr>
              <w:rPr>
                <w:rFonts w:ascii="Gotham Light" w:hAnsi="Gotham Light" w:cstheme="minorHAnsi"/>
                <w:b/>
                <w:color w:val="000000" w:themeColor="text1"/>
                <w:sz w:val="20"/>
                <w:szCs w:val="20"/>
              </w:rPr>
            </w:pPr>
            <w:r w:rsidRPr="00BF613D">
              <w:rPr>
                <w:rFonts w:ascii="Gotham Light" w:hAnsi="Gotham Light" w:cstheme="minorHAnsi"/>
                <w:b/>
                <w:color w:val="000000" w:themeColor="text1"/>
                <w:sz w:val="20"/>
                <w:szCs w:val="20"/>
              </w:rPr>
              <w:t>Charge</w:t>
            </w:r>
          </w:p>
        </w:tc>
        <w:tc>
          <w:tcPr>
            <w:tcW w:w="5253" w:type="dxa"/>
          </w:tcPr>
          <w:p w14:paraId="04C27EF3" w14:textId="77777777" w:rsidR="006A432B" w:rsidRPr="00BF613D" w:rsidRDefault="006A432B" w:rsidP="00B4471F">
            <w:pPr>
              <w:rPr>
                <w:rFonts w:ascii="Gotham Light" w:hAnsi="Gotham Light" w:cstheme="minorHAnsi"/>
                <w:color w:val="000000" w:themeColor="text1"/>
                <w:sz w:val="20"/>
                <w:szCs w:val="20"/>
              </w:rPr>
            </w:pPr>
            <w:r w:rsidRPr="00BF613D">
              <w:rPr>
                <w:rFonts w:ascii="Gotham Light" w:hAnsi="Gotham Light" w:cstheme="minorHAnsi"/>
                <w:color w:val="000000" w:themeColor="text1"/>
                <w:sz w:val="20"/>
                <w:szCs w:val="20"/>
              </w:rPr>
              <w:t>No additional patient charge (but uses clinical and lab resources)</w:t>
            </w:r>
          </w:p>
        </w:tc>
        <w:tc>
          <w:tcPr>
            <w:tcW w:w="5043" w:type="dxa"/>
          </w:tcPr>
          <w:p w14:paraId="1BA8792F" w14:textId="7FDE75CF" w:rsidR="006A432B" w:rsidRPr="00BF613D" w:rsidRDefault="00DA3618" w:rsidP="00A47613">
            <w:pPr>
              <w:rPr>
                <w:rFonts w:ascii="Gotham Light" w:hAnsi="Gotham Light" w:cstheme="minorHAnsi"/>
                <w:color w:val="000000" w:themeColor="text1"/>
                <w:sz w:val="20"/>
                <w:szCs w:val="20"/>
              </w:rPr>
            </w:pPr>
            <w:r w:rsidRPr="00BF613D">
              <w:rPr>
                <w:rFonts w:ascii="Gotham Light" w:hAnsi="Gotham Light" w:cstheme="minorHAnsi"/>
                <w:color w:val="000000" w:themeColor="text1"/>
                <w:sz w:val="20"/>
                <w:szCs w:val="20"/>
              </w:rPr>
              <w:t>To be determined once a DNA banking service has been identified. The charge</w:t>
            </w:r>
            <w:r w:rsidR="006A432B" w:rsidRPr="00BF613D">
              <w:rPr>
                <w:rFonts w:ascii="Gotham Light" w:hAnsi="Gotham Light" w:cstheme="minorHAnsi"/>
                <w:color w:val="000000" w:themeColor="text1"/>
                <w:sz w:val="20"/>
                <w:szCs w:val="20"/>
              </w:rPr>
              <w:t xml:space="preserve"> will be paid by patient directly to </w:t>
            </w:r>
            <w:r w:rsidRPr="00BF613D">
              <w:rPr>
                <w:rFonts w:ascii="Gotham Light" w:hAnsi="Gotham Light" w:cstheme="minorHAnsi"/>
                <w:color w:val="000000" w:themeColor="text1"/>
                <w:sz w:val="20"/>
                <w:szCs w:val="20"/>
              </w:rPr>
              <w:t>the service.</w:t>
            </w:r>
          </w:p>
        </w:tc>
      </w:tr>
      <w:tr w:rsidR="006A432B" w:rsidRPr="00BF613D" w14:paraId="753273D9" w14:textId="77777777" w:rsidTr="00784CE7">
        <w:trPr>
          <w:jc w:val="center"/>
        </w:trPr>
        <w:tc>
          <w:tcPr>
            <w:tcW w:w="1051" w:type="dxa"/>
          </w:tcPr>
          <w:p w14:paraId="42CCCF7A" w14:textId="77777777" w:rsidR="006A432B" w:rsidRPr="00BF613D" w:rsidRDefault="006A432B" w:rsidP="00B4471F">
            <w:pPr>
              <w:rPr>
                <w:rFonts w:ascii="Gotham Light" w:hAnsi="Gotham Light" w:cstheme="minorHAnsi"/>
                <w:b/>
                <w:color w:val="000000" w:themeColor="text1"/>
                <w:sz w:val="20"/>
                <w:szCs w:val="20"/>
              </w:rPr>
            </w:pPr>
            <w:r w:rsidRPr="00BF613D">
              <w:rPr>
                <w:rFonts w:ascii="Gotham Light" w:hAnsi="Gotham Light" w:cstheme="minorHAnsi"/>
                <w:b/>
                <w:color w:val="000000" w:themeColor="text1"/>
                <w:sz w:val="20"/>
                <w:szCs w:val="20"/>
              </w:rPr>
              <w:t>Consent Required</w:t>
            </w:r>
          </w:p>
        </w:tc>
        <w:tc>
          <w:tcPr>
            <w:tcW w:w="5253" w:type="dxa"/>
          </w:tcPr>
          <w:p w14:paraId="46404BB8" w14:textId="77777777" w:rsidR="006A432B" w:rsidRPr="00BF613D" w:rsidRDefault="006A432B" w:rsidP="00B4471F">
            <w:pPr>
              <w:rPr>
                <w:rFonts w:ascii="Gotham Light" w:hAnsi="Gotham Light" w:cstheme="minorHAnsi"/>
                <w:color w:val="000000" w:themeColor="text1"/>
                <w:sz w:val="20"/>
                <w:szCs w:val="20"/>
              </w:rPr>
            </w:pPr>
            <w:r w:rsidRPr="00BF613D">
              <w:rPr>
                <w:rFonts w:ascii="Gotham Light" w:hAnsi="Gotham Light" w:cstheme="minorHAnsi"/>
                <w:color w:val="000000" w:themeColor="text1"/>
                <w:sz w:val="20"/>
                <w:szCs w:val="20"/>
              </w:rPr>
              <w:t>Verbal agreement from patient/guardian</w:t>
            </w:r>
          </w:p>
        </w:tc>
        <w:tc>
          <w:tcPr>
            <w:tcW w:w="5043" w:type="dxa"/>
          </w:tcPr>
          <w:p w14:paraId="0D2590D8" w14:textId="01D30613" w:rsidR="006A432B" w:rsidRPr="00BF613D" w:rsidRDefault="006A432B" w:rsidP="00DA3618">
            <w:pPr>
              <w:rPr>
                <w:rFonts w:ascii="Gotham Light" w:hAnsi="Gotham Light" w:cstheme="minorHAnsi"/>
                <w:color w:val="000000" w:themeColor="text1"/>
                <w:sz w:val="20"/>
                <w:szCs w:val="20"/>
              </w:rPr>
            </w:pPr>
            <w:r w:rsidRPr="00BF613D">
              <w:rPr>
                <w:rFonts w:ascii="Gotham Light" w:hAnsi="Gotham Light" w:cstheme="minorHAnsi"/>
                <w:color w:val="000000" w:themeColor="text1"/>
                <w:sz w:val="20"/>
                <w:szCs w:val="20"/>
              </w:rPr>
              <w:t>Signed DNA Bank form</w:t>
            </w:r>
            <w:r w:rsidR="00DA3618" w:rsidRPr="00BF613D">
              <w:rPr>
                <w:rFonts w:ascii="Gotham Light" w:hAnsi="Gotham Light" w:cstheme="minorHAnsi"/>
                <w:color w:val="000000" w:themeColor="text1"/>
                <w:sz w:val="20"/>
                <w:szCs w:val="20"/>
              </w:rPr>
              <w:t xml:space="preserve"> is typically required.</w:t>
            </w:r>
          </w:p>
        </w:tc>
      </w:tr>
    </w:tbl>
    <w:p w14:paraId="47FC86DB" w14:textId="55976D4E" w:rsidR="003F1AA5" w:rsidRPr="00BF613D" w:rsidRDefault="003F1AA5" w:rsidP="003F1AA5">
      <w:pPr>
        <w:pStyle w:val="Heading1"/>
        <w:rPr>
          <w:rFonts w:ascii="Gotham Light" w:hAnsi="Gotham Light"/>
          <w:color w:val="00586F"/>
          <w:sz w:val="28"/>
          <w:szCs w:val="28"/>
        </w:rPr>
      </w:pPr>
      <w:r w:rsidRPr="00BF613D">
        <w:rPr>
          <w:rFonts w:ascii="Gotham Light" w:hAnsi="Gotham Light"/>
          <w:color w:val="00586F"/>
          <w:sz w:val="28"/>
          <w:szCs w:val="28"/>
        </w:rPr>
        <w:lastRenderedPageBreak/>
        <w:t>Questions to consider BEFORE ordering an MGL hold:</w:t>
      </w:r>
    </w:p>
    <w:p w14:paraId="3DCE610A" w14:textId="77777777" w:rsidR="003F1AA5" w:rsidRPr="00BF613D" w:rsidRDefault="003F1AA5" w:rsidP="003F1AA5">
      <w:pPr>
        <w:spacing w:after="0"/>
        <w:rPr>
          <w:rFonts w:ascii="Gotham Light" w:hAnsi="Gotham Light"/>
          <w:color w:val="000000" w:themeColor="text1"/>
        </w:rPr>
      </w:pPr>
      <w:r w:rsidRPr="00BF613D">
        <w:rPr>
          <w:rFonts w:ascii="Gotham Light" w:hAnsi="Gotham Light"/>
          <w:color w:val="000000" w:themeColor="text1"/>
        </w:rPr>
        <w:t>Pause. Before telling a family that an MGL hold will be performed, consider the below options:</w:t>
      </w:r>
    </w:p>
    <w:p w14:paraId="5971CBDA" w14:textId="4B3C8F87" w:rsidR="00401D2A" w:rsidRPr="00BF613D" w:rsidRDefault="00401D2A" w:rsidP="003F1AA5">
      <w:pPr>
        <w:pStyle w:val="ListParagraph"/>
        <w:numPr>
          <w:ilvl w:val="0"/>
          <w:numId w:val="1"/>
        </w:numPr>
        <w:spacing w:after="0"/>
        <w:rPr>
          <w:rFonts w:ascii="Gotham Light" w:hAnsi="Gotham Light"/>
          <w:color w:val="000000" w:themeColor="text1"/>
        </w:rPr>
      </w:pPr>
      <w:r w:rsidRPr="00BF613D">
        <w:rPr>
          <w:rFonts w:ascii="Gotham Light" w:hAnsi="Gotham Light"/>
          <w:color w:val="000000" w:themeColor="text1"/>
        </w:rPr>
        <w:t xml:space="preserve">Is </w:t>
      </w:r>
      <w:r w:rsidRPr="00BF613D">
        <w:rPr>
          <w:rFonts w:ascii="Gotham Light" w:hAnsi="Gotham Light"/>
          <w:color w:val="000000" w:themeColor="text1"/>
          <w:u w:val="single"/>
        </w:rPr>
        <w:t>one specific</w:t>
      </w:r>
      <w:r w:rsidRPr="00BF613D">
        <w:rPr>
          <w:rFonts w:ascii="Gotham Light" w:hAnsi="Gotham Light"/>
          <w:color w:val="000000" w:themeColor="text1"/>
        </w:rPr>
        <w:t xml:space="preserve"> </w:t>
      </w:r>
      <w:r w:rsidR="00DA3618" w:rsidRPr="00BF613D">
        <w:rPr>
          <w:rFonts w:ascii="Gotham Light" w:hAnsi="Gotham Light"/>
          <w:color w:val="000000" w:themeColor="text1"/>
        </w:rPr>
        <w:t>clinical</w:t>
      </w:r>
      <w:r w:rsidR="00DA3618" w:rsidRPr="00BF613D">
        <w:rPr>
          <w:rFonts w:ascii="Gotham Light" w:hAnsi="Gotham Light"/>
          <w:color w:val="000000" w:themeColor="text1"/>
          <w:u w:val="single"/>
        </w:rPr>
        <w:t xml:space="preserve"> </w:t>
      </w:r>
      <w:r w:rsidRPr="00BF613D">
        <w:rPr>
          <w:rFonts w:ascii="Gotham Light" w:hAnsi="Gotham Light"/>
          <w:color w:val="000000" w:themeColor="text1"/>
        </w:rPr>
        <w:t xml:space="preserve">molecular test recommended? (MGL hold is not to be used when test plan </w:t>
      </w:r>
      <w:r w:rsidR="00A711AA" w:rsidRPr="00BF613D">
        <w:rPr>
          <w:rFonts w:ascii="Gotham Light" w:hAnsi="Gotham Light"/>
          <w:color w:val="000000" w:themeColor="text1"/>
        </w:rPr>
        <w:t>is uncertain</w:t>
      </w:r>
      <w:r w:rsidRPr="00BF613D">
        <w:rPr>
          <w:rFonts w:ascii="Gotham Light" w:hAnsi="Gotham Light"/>
          <w:color w:val="000000" w:themeColor="text1"/>
        </w:rPr>
        <w:t xml:space="preserve">!) </w:t>
      </w:r>
    </w:p>
    <w:p w14:paraId="316DA289" w14:textId="4B29B4B6" w:rsidR="003F1AA5" w:rsidRPr="00BF613D" w:rsidRDefault="003F1AA5" w:rsidP="003F1AA5">
      <w:pPr>
        <w:pStyle w:val="ListParagraph"/>
        <w:numPr>
          <w:ilvl w:val="0"/>
          <w:numId w:val="1"/>
        </w:numPr>
        <w:spacing w:after="0"/>
        <w:rPr>
          <w:rFonts w:ascii="Gotham Light" w:hAnsi="Gotham Light"/>
          <w:color w:val="000000" w:themeColor="text1"/>
        </w:rPr>
      </w:pPr>
      <w:r w:rsidRPr="00BF613D">
        <w:rPr>
          <w:rFonts w:ascii="Gotham Light" w:hAnsi="Gotham Light"/>
          <w:color w:val="000000" w:themeColor="text1"/>
        </w:rPr>
        <w:t>Are you certain that the desired test can be performed on extracted DNA? Some tests cannot be performed on extracted DNA. Consult</w:t>
      </w:r>
      <w:r w:rsidR="00784CE7" w:rsidRPr="00BF613D">
        <w:rPr>
          <w:rFonts w:ascii="Gotham Light" w:hAnsi="Gotham Light"/>
          <w:color w:val="000000" w:themeColor="text1"/>
        </w:rPr>
        <w:t xml:space="preserve"> the</w:t>
      </w:r>
      <w:r w:rsidRPr="00BF613D">
        <w:rPr>
          <w:rFonts w:ascii="Gotham Light" w:hAnsi="Gotham Light"/>
          <w:color w:val="000000" w:themeColor="text1"/>
        </w:rPr>
        <w:t xml:space="preserve"> </w:t>
      </w:r>
      <w:hyperlink r:id="rId9" w:history="1">
        <w:r w:rsidR="00784CE7" w:rsidRPr="00BF613D">
          <w:rPr>
            <w:rStyle w:val="Hyperlink"/>
            <w:rFonts w:ascii="Gotham Light" w:hAnsi="Gotham Light"/>
          </w:rPr>
          <w:t>Lab Test Catalog</w:t>
        </w:r>
      </w:hyperlink>
      <w:r w:rsidRPr="00BF613D">
        <w:rPr>
          <w:rFonts w:ascii="Gotham Light" w:hAnsi="Gotham Light"/>
          <w:color w:val="000000" w:themeColor="text1"/>
        </w:rPr>
        <w:t xml:space="preserve"> or the Lab G</w:t>
      </w:r>
      <w:r w:rsidR="00784CE7" w:rsidRPr="00BF613D">
        <w:rPr>
          <w:rFonts w:ascii="Gotham Light" w:hAnsi="Gotham Light"/>
          <w:color w:val="000000" w:themeColor="text1"/>
        </w:rPr>
        <w:t>enetic Counselors</w:t>
      </w:r>
      <w:r w:rsidRPr="00BF613D">
        <w:rPr>
          <w:rFonts w:ascii="Gotham Light" w:hAnsi="Gotham Light"/>
          <w:color w:val="000000" w:themeColor="text1"/>
        </w:rPr>
        <w:t xml:space="preserve"> first if you are not certain. </w:t>
      </w:r>
    </w:p>
    <w:p w14:paraId="56013CCE" w14:textId="77777777" w:rsidR="003F1AA5" w:rsidRPr="00BF613D" w:rsidRDefault="003F1AA5" w:rsidP="003F1AA5">
      <w:pPr>
        <w:pStyle w:val="ListParagraph"/>
        <w:numPr>
          <w:ilvl w:val="0"/>
          <w:numId w:val="1"/>
        </w:numPr>
        <w:spacing w:after="0"/>
        <w:rPr>
          <w:rFonts w:ascii="Gotham Light" w:hAnsi="Gotham Light"/>
          <w:color w:val="000000" w:themeColor="text1"/>
        </w:rPr>
      </w:pPr>
      <w:r w:rsidRPr="00BF613D">
        <w:rPr>
          <w:rFonts w:ascii="Gotham Light" w:hAnsi="Gotham Light"/>
          <w:color w:val="000000" w:themeColor="text1"/>
        </w:rPr>
        <w:t>Does this patient:</w:t>
      </w:r>
    </w:p>
    <w:p w14:paraId="08869F47" w14:textId="70D6F1A4" w:rsidR="003F1AA5" w:rsidRPr="00BF613D" w:rsidRDefault="003F1AA5" w:rsidP="00784CE7">
      <w:pPr>
        <w:pStyle w:val="ListParagraph"/>
        <w:numPr>
          <w:ilvl w:val="1"/>
          <w:numId w:val="1"/>
        </w:numPr>
        <w:spacing w:after="0"/>
        <w:ind w:left="1080" w:hanging="180"/>
        <w:rPr>
          <w:rFonts w:ascii="Gotham Light" w:hAnsi="Gotham Light"/>
          <w:color w:val="000000" w:themeColor="text1"/>
        </w:rPr>
      </w:pPr>
      <w:r w:rsidRPr="00BF613D">
        <w:rPr>
          <w:rFonts w:ascii="Gotham Light" w:hAnsi="Gotham Light"/>
          <w:color w:val="000000" w:themeColor="text1"/>
        </w:rPr>
        <w:t xml:space="preserve">already have banked </w:t>
      </w:r>
      <w:proofErr w:type="gramStart"/>
      <w:r w:rsidRPr="00BF613D">
        <w:rPr>
          <w:rFonts w:ascii="Gotham Light" w:hAnsi="Gotham Light"/>
          <w:color w:val="000000" w:themeColor="text1"/>
        </w:rPr>
        <w:t>DNA?</w:t>
      </w:r>
      <w:proofErr w:type="gramEnd"/>
      <w:r w:rsidRPr="00BF613D">
        <w:rPr>
          <w:rFonts w:ascii="Gotham Light" w:hAnsi="Gotham Light"/>
          <w:color w:val="000000" w:themeColor="text1"/>
        </w:rPr>
        <w:tab/>
      </w:r>
    </w:p>
    <w:p w14:paraId="2F99249C" w14:textId="77777777" w:rsidR="003F1AA5" w:rsidRPr="00BF613D" w:rsidRDefault="003F1AA5" w:rsidP="00784CE7">
      <w:pPr>
        <w:pStyle w:val="ListParagraph"/>
        <w:numPr>
          <w:ilvl w:val="1"/>
          <w:numId w:val="1"/>
        </w:numPr>
        <w:spacing w:after="0"/>
        <w:ind w:left="1080" w:hanging="180"/>
        <w:rPr>
          <w:rFonts w:ascii="Gotham Light" w:hAnsi="Gotham Light"/>
          <w:color w:val="000000" w:themeColor="text1"/>
        </w:rPr>
      </w:pPr>
      <w:r w:rsidRPr="00BF613D">
        <w:rPr>
          <w:rFonts w:ascii="Gotham Light" w:hAnsi="Gotham Light"/>
          <w:color w:val="000000" w:themeColor="text1"/>
        </w:rPr>
        <w:t xml:space="preserve">have another appointment at a SCH facility </w:t>
      </w:r>
      <w:proofErr w:type="gramStart"/>
      <w:r w:rsidRPr="00BF613D">
        <w:rPr>
          <w:rFonts w:ascii="Gotham Light" w:hAnsi="Gotham Light"/>
          <w:color w:val="000000" w:themeColor="text1"/>
        </w:rPr>
        <w:t>in the near future</w:t>
      </w:r>
      <w:proofErr w:type="gramEnd"/>
      <w:r w:rsidRPr="00BF613D">
        <w:rPr>
          <w:rFonts w:ascii="Gotham Light" w:hAnsi="Gotham Light"/>
          <w:color w:val="000000" w:themeColor="text1"/>
        </w:rPr>
        <w:t>?</w:t>
      </w:r>
    </w:p>
    <w:p w14:paraId="211E48E5" w14:textId="7F3A059B" w:rsidR="003F1AA5" w:rsidRPr="00BF613D" w:rsidRDefault="003F1AA5" w:rsidP="00784CE7">
      <w:pPr>
        <w:pStyle w:val="ListParagraph"/>
        <w:numPr>
          <w:ilvl w:val="1"/>
          <w:numId w:val="1"/>
        </w:numPr>
        <w:spacing w:after="0"/>
        <w:ind w:left="1080" w:hanging="180"/>
        <w:rPr>
          <w:rFonts w:ascii="Gotham Light" w:hAnsi="Gotham Light"/>
          <w:color w:val="000000" w:themeColor="text1"/>
        </w:rPr>
      </w:pPr>
      <w:r w:rsidRPr="00BF613D">
        <w:rPr>
          <w:rFonts w:ascii="Gotham Light" w:hAnsi="Gotham Light"/>
          <w:color w:val="000000" w:themeColor="text1"/>
        </w:rPr>
        <w:t xml:space="preserve">live near one of the SCH Lab sites (see </w:t>
      </w:r>
      <w:r w:rsidR="00DA3618" w:rsidRPr="00BF613D">
        <w:rPr>
          <w:rFonts w:ascii="Gotham Light" w:hAnsi="Gotham Light"/>
          <w:color w:val="000000" w:themeColor="text1"/>
        </w:rPr>
        <w:t xml:space="preserve">the Lab Test Catalog </w:t>
      </w:r>
      <w:r w:rsidRPr="00BF613D">
        <w:rPr>
          <w:rFonts w:ascii="Gotham Light" w:hAnsi="Gotham Light"/>
          <w:color w:val="000000" w:themeColor="text1"/>
        </w:rPr>
        <w:t>for all locations and extended/weekend hours!)</w:t>
      </w:r>
    </w:p>
    <w:p w14:paraId="6EB52B48" w14:textId="77777777" w:rsidR="00DA3618" w:rsidRPr="00BF613D" w:rsidRDefault="003F1AA5" w:rsidP="003F1AA5">
      <w:pPr>
        <w:pStyle w:val="ListParagraph"/>
        <w:numPr>
          <w:ilvl w:val="0"/>
          <w:numId w:val="1"/>
        </w:numPr>
        <w:spacing w:after="0"/>
        <w:rPr>
          <w:rFonts w:ascii="Gotham Light" w:hAnsi="Gotham Light"/>
          <w:color w:val="000000" w:themeColor="text1"/>
        </w:rPr>
      </w:pPr>
      <w:r w:rsidRPr="00BF613D">
        <w:rPr>
          <w:rFonts w:ascii="Gotham Light" w:hAnsi="Gotham Light"/>
          <w:color w:val="000000" w:themeColor="text1"/>
        </w:rPr>
        <w:t xml:space="preserve">Can a saliva or other sample be collected at home later? </w:t>
      </w:r>
    </w:p>
    <w:p w14:paraId="4F4E6CCB" w14:textId="27BFA580" w:rsidR="00DA3618" w:rsidRPr="00BF613D" w:rsidRDefault="00DA3618" w:rsidP="00784CE7">
      <w:pPr>
        <w:pStyle w:val="ListParagraph"/>
        <w:numPr>
          <w:ilvl w:val="1"/>
          <w:numId w:val="1"/>
        </w:numPr>
        <w:spacing w:after="0"/>
        <w:ind w:left="1080" w:hanging="180"/>
        <w:rPr>
          <w:rFonts w:ascii="Gotham Light" w:hAnsi="Gotham Light"/>
          <w:color w:val="000000" w:themeColor="text1"/>
        </w:rPr>
      </w:pPr>
      <w:r w:rsidRPr="00BF613D">
        <w:rPr>
          <w:rFonts w:ascii="Gotham Light" w:hAnsi="Gotham Light"/>
          <w:color w:val="000000" w:themeColor="text1"/>
        </w:rPr>
        <w:t>For inhouse tests see</w:t>
      </w:r>
      <w:r w:rsidR="00784CE7" w:rsidRPr="00BF613D">
        <w:rPr>
          <w:rFonts w:ascii="Gotham Light" w:hAnsi="Gotham Light"/>
          <w:color w:val="000000" w:themeColor="text1"/>
        </w:rPr>
        <w:t xml:space="preserve"> the</w:t>
      </w:r>
      <w:r w:rsidR="003F1AA5" w:rsidRPr="00BF613D">
        <w:rPr>
          <w:rFonts w:ascii="Gotham Light" w:hAnsi="Gotham Light"/>
          <w:color w:val="000000" w:themeColor="text1"/>
        </w:rPr>
        <w:t xml:space="preserve"> </w:t>
      </w:r>
      <w:hyperlink r:id="rId10" w:history="1">
        <w:r w:rsidR="00784CE7" w:rsidRPr="00BF613D">
          <w:rPr>
            <w:rStyle w:val="Hyperlink"/>
            <w:rFonts w:ascii="Gotham Light" w:hAnsi="Gotham Light"/>
          </w:rPr>
          <w:t>Lab Test Catalog</w:t>
        </w:r>
      </w:hyperlink>
      <w:r w:rsidRPr="00BF613D">
        <w:rPr>
          <w:rFonts w:ascii="Gotham Light" w:hAnsi="Gotham Light"/>
          <w:color w:val="000000" w:themeColor="text1"/>
        </w:rPr>
        <w:t xml:space="preserve"> test page</w:t>
      </w:r>
      <w:r w:rsidR="00784CE7" w:rsidRPr="00BF613D">
        <w:rPr>
          <w:rFonts w:ascii="Gotham Light" w:hAnsi="Gotham Light"/>
          <w:color w:val="000000" w:themeColor="text1"/>
        </w:rPr>
        <w:t>.</w:t>
      </w:r>
      <w:r w:rsidRPr="00BF613D">
        <w:rPr>
          <w:rFonts w:ascii="Gotham Light" w:hAnsi="Gotham Light"/>
          <w:color w:val="000000" w:themeColor="text1"/>
        </w:rPr>
        <w:t xml:space="preserve"> </w:t>
      </w:r>
    </w:p>
    <w:p w14:paraId="21DF32F7" w14:textId="741FC106" w:rsidR="003F1AA5" w:rsidRPr="00BF613D" w:rsidRDefault="00DA3618" w:rsidP="00784CE7">
      <w:pPr>
        <w:pStyle w:val="ListParagraph"/>
        <w:numPr>
          <w:ilvl w:val="1"/>
          <w:numId w:val="1"/>
        </w:numPr>
        <w:spacing w:after="0"/>
        <w:ind w:left="1080" w:hanging="180"/>
        <w:rPr>
          <w:rFonts w:ascii="Gotham Light" w:hAnsi="Gotham Light"/>
          <w:color w:val="000000" w:themeColor="text1"/>
        </w:rPr>
      </w:pPr>
      <w:r w:rsidRPr="00BF613D">
        <w:rPr>
          <w:rFonts w:ascii="Gotham Light" w:hAnsi="Gotham Light"/>
          <w:color w:val="000000" w:themeColor="text1"/>
        </w:rPr>
        <w:t xml:space="preserve">For </w:t>
      </w:r>
      <w:proofErr w:type="spellStart"/>
      <w:r w:rsidRPr="00BF613D">
        <w:rPr>
          <w:rFonts w:ascii="Gotham Light" w:hAnsi="Gotham Light"/>
          <w:color w:val="000000" w:themeColor="text1"/>
        </w:rPr>
        <w:t>sendout</w:t>
      </w:r>
      <w:proofErr w:type="spellEnd"/>
      <w:r w:rsidRPr="00BF613D">
        <w:rPr>
          <w:rFonts w:ascii="Gotham Light" w:hAnsi="Gotham Light"/>
          <w:color w:val="000000" w:themeColor="text1"/>
        </w:rPr>
        <w:t xml:space="preserve"> tests see the Alternate Specimen Collection Kits for Genetic Testing page </w:t>
      </w:r>
      <w:hyperlink r:id="rId11" w:history="1">
        <w:r w:rsidRPr="00BF613D">
          <w:rPr>
            <w:rStyle w:val="Hyperlink"/>
            <w:rFonts w:ascii="Gotham Light" w:hAnsi="Gotham Light"/>
          </w:rPr>
          <w:t>https://seattlechildrenslab.testcatalog.org/show/2326274048</w:t>
        </w:r>
      </w:hyperlink>
      <w:r w:rsidRPr="00BF613D">
        <w:rPr>
          <w:rFonts w:ascii="Gotham Light" w:hAnsi="Gotham Light"/>
          <w:color w:val="000000" w:themeColor="text1"/>
        </w:rPr>
        <w:t xml:space="preserve"> or</w:t>
      </w:r>
      <w:r w:rsidR="00784CE7" w:rsidRPr="00BF613D">
        <w:rPr>
          <w:rFonts w:ascii="Gotham Light" w:hAnsi="Gotham Light"/>
          <w:color w:val="000000" w:themeColor="text1"/>
        </w:rPr>
        <w:t xml:space="preserve"> </w:t>
      </w:r>
      <w:r w:rsidRPr="00BF613D">
        <w:rPr>
          <w:rFonts w:ascii="Gotham Light" w:hAnsi="Gotham Light"/>
          <w:color w:val="000000" w:themeColor="text1"/>
        </w:rPr>
        <w:t>c</w:t>
      </w:r>
      <w:r w:rsidR="003F1AA5" w:rsidRPr="00BF613D">
        <w:rPr>
          <w:rFonts w:ascii="Gotham Light" w:hAnsi="Gotham Light"/>
          <w:color w:val="000000" w:themeColor="text1"/>
        </w:rPr>
        <w:t xml:space="preserve">ontact Lab Genetic Counselors </w:t>
      </w:r>
      <w:r w:rsidRPr="00BF613D">
        <w:rPr>
          <w:rFonts w:ascii="Gotham Light" w:hAnsi="Gotham Light"/>
          <w:color w:val="000000" w:themeColor="text1"/>
        </w:rPr>
        <w:t>(LabGC@seattlechildrens.org)</w:t>
      </w:r>
      <w:r w:rsidR="00784CE7" w:rsidRPr="00BF613D">
        <w:rPr>
          <w:rFonts w:ascii="Gotham Light" w:hAnsi="Gotham Light"/>
          <w:color w:val="000000" w:themeColor="text1"/>
        </w:rPr>
        <w:t>.</w:t>
      </w:r>
    </w:p>
    <w:p w14:paraId="58172268" w14:textId="12D33604" w:rsidR="003F1AA5" w:rsidRPr="00BF613D" w:rsidRDefault="003F1AA5" w:rsidP="003F1AA5">
      <w:pPr>
        <w:pStyle w:val="Heading1"/>
        <w:rPr>
          <w:rFonts w:ascii="Gotham Light" w:hAnsi="Gotham Light"/>
          <w:color w:val="00586F"/>
          <w:sz w:val="28"/>
          <w:szCs w:val="28"/>
        </w:rPr>
      </w:pPr>
      <w:r w:rsidRPr="00BF613D">
        <w:rPr>
          <w:rFonts w:ascii="Gotham Light" w:hAnsi="Gotham Light"/>
          <w:color w:val="00586F"/>
          <w:sz w:val="28"/>
          <w:szCs w:val="28"/>
        </w:rPr>
        <w:t>Is consent required for an MGL hold?</w:t>
      </w:r>
    </w:p>
    <w:p w14:paraId="0A8FCAF9" w14:textId="3E3CFF70" w:rsidR="003F1AA5" w:rsidRPr="00BF613D" w:rsidRDefault="003F1AA5" w:rsidP="003F1AA5">
      <w:pPr>
        <w:spacing w:after="0"/>
        <w:rPr>
          <w:rFonts w:ascii="Gotham Light" w:hAnsi="Gotham Light"/>
          <w:color w:val="000000" w:themeColor="text1"/>
        </w:rPr>
      </w:pPr>
      <w:r w:rsidRPr="00BF613D">
        <w:rPr>
          <w:rFonts w:ascii="Gotham Light" w:hAnsi="Gotham Light"/>
          <w:color w:val="000000" w:themeColor="text1"/>
        </w:rPr>
        <w:t>MGL Hold does not require a signed consent form because it is a short-term extract and hold that is intended for one test.</w:t>
      </w:r>
    </w:p>
    <w:p w14:paraId="0EBF3CCB" w14:textId="6B50A37D" w:rsidR="003F1AA5" w:rsidRPr="00BF613D" w:rsidRDefault="003F1AA5" w:rsidP="003F1AA5">
      <w:pPr>
        <w:pStyle w:val="Heading1"/>
        <w:rPr>
          <w:rFonts w:ascii="Gotham Light" w:hAnsi="Gotham Light"/>
          <w:color w:val="00586F"/>
          <w:sz w:val="28"/>
          <w:szCs w:val="28"/>
        </w:rPr>
      </w:pPr>
      <w:r w:rsidRPr="00BF613D">
        <w:rPr>
          <w:rFonts w:ascii="Gotham Light" w:hAnsi="Gotham Light"/>
          <w:color w:val="00586F"/>
          <w:sz w:val="28"/>
          <w:szCs w:val="28"/>
        </w:rPr>
        <w:t>How does a provider order an MGL Hold?</w:t>
      </w:r>
    </w:p>
    <w:p w14:paraId="598BE47A" w14:textId="19F1A9C0" w:rsidR="003F1AA5" w:rsidRPr="00BF613D" w:rsidRDefault="005647BB" w:rsidP="003F1AA5">
      <w:pPr>
        <w:spacing w:after="0"/>
        <w:rPr>
          <w:rFonts w:ascii="Gotham Light" w:eastAsia="Times New Roman" w:hAnsi="Gotham Light" w:cstheme="minorHAnsi"/>
          <w:color w:val="000000" w:themeColor="text1"/>
        </w:rPr>
      </w:pPr>
      <w:r w:rsidRPr="00BF613D">
        <w:rPr>
          <w:rFonts w:ascii="Gotham Light" w:eastAsia="Times New Roman" w:hAnsi="Gotham Light" w:cstheme="minorHAnsi"/>
          <w:color w:val="000000" w:themeColor="text1"/>
        </w:rPr>
        <w:t xml:space="preserve">Within the patient’s </w:t>
      </w:r>
      <w:r w:rsidR="008B234B" w:rsidRPr="00BF613D">
        <w:rPr>
          <w:rFonts w:ascii="Gotham Light" w:eastAsia="Times New Roman" w:hAnsi="Gotham Light" w:cstheme="minorHAnsi"/>
          <w:color w:val="000000" w:themeColor="text1"/>
        </w:rPr>
        <w:t xml:space="preserve">Epic </w:t>
      </w:r>
      <w:r w:rsidRPr="00BF613D">
        <w:rPr>
          <w:rFonts w:ascii="Gotham Light" w:eastAsia="Times New Roman" w:hAnsi="Gotham Light" w:cstheme="minorHAnsi"/>
          <w:color w:val="000000" w:themeColor="text1"/>
        </w:rPr>
        <w:t xml:space="preserve">Chart, navigate to the </w:t>
      </w:r>
      <w:r w:rsidRPr="00BF613D">
        <w:rPr>
          <w:rFonts w:ascii="Gotham Light" w:eastAsia="Times New Roman" w:hAnsi="Gotham Light" w:cstheme="minorHAnsi"/>
          <w:b/>
          <w:bCs/>
          <w:color w:val="000000" w:themeColor="text1"/>
        </w:rPr>
        <w:t>Orders</w:t>
      </w:r>
      <w:r w:rsidRPr="00BF613D">
        <w:rPr>
          <w:rFonts w:ascii="Gotham Light" w:eastAsia="Times New Roman" w:hAnsi="Gotham Light" w:cstheme="minorHAnsi"/>
          <w:color w:val="000000" w:themeColor="text1"/>
        </w:rPr>
        <w:t xml:space="preserve"> </w:t>
      </w:r>
      <w:r w:rsidR="008B234B" w:rsidRPr="00BF613D">
        <w:rPr>
          <w:rFonts w:ascii="Gotham Light" w:eastAsia="Times New Roman" w:hAnsi="Gotham Light" w:cstheme="minorHAnsi"/>
          <w:color w:val="000000" w:themeColor="text1"/>
        </w:rPr>
        <w:t>function</w:t>
      </w:r>
      <w:r w:rsidRPr="00BF613D">
        <w:rPr>
          <w:rFonts w:ascii="Gotham Light" w:eastAsia="Times New Roman" w:hAnsi="Gotham Light" w:cstheme="minorHAnsi"/>
          <w:color w:val="000000" w:themeColor="text1"/>
        </w:rPr>
        <w:t xml:space="preserve"> and search for Molecular Genetics Lab Hold (a</w:t>
      </w:r>
      <w:r w:rsidR="008B234B" w:rsidRPr="00BF613D">
        <w:rPr>
          <w:rFonts w:ascii="Gotham Light" w:eastAsia="Times New Roman" w:hAnsi="Gotham Light" w:cstheme="minorHAnsi"/>
          <w:color w:val="000000" w:themeColor="text1"/>
        </w:rPr>
        <w:t>.</w:t>
      </w:r>
      <w:r w:rsidRPr="00BF613D">
        <w:rPr>
          <w:rFonts w:ascii="Gotham Light" w:eastAsia="Times New Roman" w:hAnsi="Gotham Light" w:cstheme="minorHAnsi"/>
          <w:color w:val="000000" w:themeColor="text1"/>
        </w:rPr>
        <w:t>k</w:t>
      </w:r>
      <w:r w:rsidR="008B234B" w:rsidRPr="00BF613D">
        <w:rPr>
          <w:rFonts w:ascii="Gotham Light" w:eastAsia="Times New Roman" w:hAnsi="Gotham Light" w:cstheme="minorHAnsi"/>
          <w:color w:val="000000" w:themeColor="text1"/>
        </w:rPr>
        <w:t>.</w:t>
      </w:r>
      <w:r w:rsidRPr="00BF613D">
        <w:rPr>
          <w:rFonts w:ascii="Gotham Light" w:eastAsia="Times New Roman" w:hAnsi="Gotham Light" w:cstheme="minorHAnsi"/>
          <w:color w:val="000000" w:themeColor="text1"/>
        </w:rPr>
        <w:t>a</w:t>
      </w:r>
      <w:r w:rsidR="008B234B" w:rsidRPr="00BF613D">
        <w:rPr>
          <w:rFonts w:ascii="Gotham Light" w:eastAsia="Times New Roman" w:hAnsi="Gotham Light" w:cstheme="minorHAnsi"/>
          <w:color w:val="000000" w:themeColor="text1"/>
        </w:rPr>
        <w:t>.</w:t>
      </w:r>
      <w:r w:rsidRPr="00BF613D">
        <w:rPr>
          <w:rFonts w:ascii="Gotham Light" w:eastAsia="Times New Roman" w:hAnsi="Gotham Light" w:cstheme="minorHAnsi"/>
          <w:color w:val="000000" w:themeColor="text1"/>
        </w:rPr>
        <w:t xml:space="preserve">, MGL).  </w:t>
      </w:r>
      <w:r w:rsidR="00F5603A" w:rsidRPr="00BF613D">
        <w:rPr>
          <w:rFonts w:ascii="Gotham Light" w:eastAsia="Times New Roman" w:hAnsi="Gotham Light" w:cstheme="minorHAnsi"/>
          <w:color w:val="000000" w:themeColor="text1"/>
        </w:rPr>
        <w:t xml:space="preserve">You </w:t>
      </w:r>
      <w:r w:rsidR="00F5603A" w:rsidRPr="00BF613D">
        <w:rPr>
          <w:rFonts w:ascii="Gotham Light" w:eastAsia="Times New Roman" w:hAnsi="Gotham Light" w:cstheme="minorHAnsi"/>
          <w:color w:val="000000" w:themeColor="text1"/>
          <w:u w:val="single"/>
        </w:rPr>
        <w:t>must</w:t>
      </w:r>
      <w:r w:rsidRPr="00BF613D">
        <w:rPr>
          <w:rFonts w:ascii="Gotham Light" w:eastAsia="Times New Roman" w:hAnsi="Gotham Light" w:cstheme="minorHAnsi"/>
          <w:color w:val="000000" w:themeColor="text1"/>
        </w:rPr>
        <w:t xml:space="preserve"> specify the </w:t>
      </w:r>
      <w:r w:rsidR="008B234B" w:rsidRPr="00BF613D">
        <w:rPr>
          <w:rFonts w:ascii="Gotham Light" w:eastAsia="Times New Roman" w:hAnsi="Gotham Light" w:cstheme="minorHAnsi"/>
          <w:color w:val="000000" w:themeColor="text1"/>
        </w:rPr>
        <w:t xml:space="preserve">one </w:t>
      </w:r>
      <w:r w:rsidRPr="00BF613D">
        <w:rPr>
          <w:rFonts w:ascii="Gotham Light" w:eastAsia="Times New Roman" w:hAnsi="Gotham Light" w:cstheme="minorHAnsi"/>
          <w:color w:val="000000" w:themeColor="text1"/>
        </w:rPr>
        <w:t xml:space="preserve">test you intend to order within the </w:t>
      </w:r>
      <w:r w:rsidRPr="00BF613D">
        <w:rPr>
          <w:rFonts w:ascii="Gotham Light" w:eastAsia="Times New Roman" w:hAnsi="Gotham Light" w:cstheme="minorHAnsi"/>
          <w:b/>
          <w:bCs/>
          <w:color w:val="000000" w:themeColor="text1"/>
        </w:rPr>
        <w:t>“Hold for test” field</w:t>
      </w:r>
      <w:r w:rsidR="00784CE7" w:rsidRPr="00BF613D">
        <w:rPr>
          <w:rFonts w:ascii="Gotham Light" w:eastAsia="Times New Roman" w:hAnsi="Gotham Light" w:cstheme="minorHAnsi"/>
          <w:color w:val="000000" w:themeColor="text1"/>
        </w:rPr>
        <w:t xml:space="preserve"> </w:t>
      </w:r>
      <w:r w:rsidRPr="00BF613D">
        <w:rPr>
          <w:rFonts w:ascii="Gotham Light" w:eastAsia="Times New Roman" w:hAnsi="Gotham Light" w:cstheme="minorHAnsi"/>
          <w:color w:val="000000" w:themeColor="text1"/>
        </w:rPr>
        <w:t xml:space="preserve">and include any additional information in the </w:t>
      </w:r>
      <w:r w:rsidRPr="00BF613D">
        <w:rPr>
          <w:rFonts w:ascii="Gotham Light" w:eastAsia="Times New Roman" w:hAnsi="Gotham Light" w:cstheme="minorHAnsi"/>
          <w:b/>
          <w:bCs/>
          <w:color w:val="000000" w:themeColor="text1"/>
        </w:rPr>
        <w:t>Comments</w:t>
      </w:r>
      <w:r w:rsidRPr="00BF613D">
        <w:rPr>
          <w:rFonts w:ascii="Gotham Light" w:eastAsia="Times New Roman" w:hAnsi="Gotham Light" w:cstheme="minorHAnsi"/>
          <w:color w:val="000000" w:themeColor="text1"/>
        </w:rPr>
        <w:t xml:space="preserve"> field.  </w:t>
      </w:r>
      <w:r w:rsidR="008B234B" w:rsidRPr="00BF613D">
        <w:rPr>
          <w:rFonts w:ascii="Gotham Light" w:eastAsia="Times New Roman" w:hAnsi="Gotham Light" w:cstheme="minorHAnsi"/>
          <w:color w:val="000000" w:themeColor="text1"/>
        </w:rPr>
        <w:t xml:space="preserve">“Genetic testing” and “To be determined” are not valid responses in these fields. </w:t>
      </w:r>
      <w:r w:rsidRPr="00BF613D">
        <w:rPr>
          <w:rFonts w:ascii="Gotham Light" w:eastAsia="Times New Roman" w:hAnsi="Gotham Light" w:cstheme="minorHAnsi"/>
          <w:color w:val="000000" w:themeColor="text1"/>
        </w:rPr>
        <w:t>Orders will be reviewed for appropriateness by the Lab GC team, based on criteria.</w:t>
      </w:r>
    </w:p>
    <w:p w14:paraId="7DA5AECD" w14:textId="77777777" w:rsidR="00CB2C80" w:rsidRPr="00BF613D" w:rsidRDefault="00CB2C80" w:rsidP="003F1AA5">
      <w:pPr>
        <w:spacing w:after="0"/>
        <w:rPr>
          <w:rFonts w:ascii="Gotham Light" w:eastAsia="Times New Roman" w:hAnsi="Gotham Light" w:cstheme="minorHAnsi"/>
          <w:color w:val="000000" w:themeColor="text1"/>
        </w:rPr>
      </w:pPr>
    </w:p>
    <w:p w14:paraId="41B076EC" w14:textId="77777777" w:rsidR="00CB2C80" w:rsidRPr="00BF613D" w:rsidRDefault="00CB2C80" w:rsidP="003F1AA5">
      <w:pPr>
        <w:spacing w:after="0"/>
        <w:rPr>
          <w:rFonts w:ascii="Gotham Light" w:hAnsi="Gotham Light"/>
          <w:color w:val="000000" w:themeColor="text1"/>
        </w:rPr>
      </w:pPr>
    </w:p>
    <w:p w14:paraId="132AE953" w14:textId="1EB836BB" w:rsidR="005647BB" w:rsidRPr="00BF613D" w:rsidRDefault="00CB2C80" w:rsidP="003F1AA5">
      <w:pPr>
        <w:spacing w:after="0"/>
        <w:rPr>
          <w:rFonts w:ascii="Gotham Light" w:hAnsi="Gotham Light"/>
          <w:b/>
          <w:color w:val="000000" w:themeColor="text1"/>
        </w:rPr>
      </w:pPr>
      <w:r w:rsidRPr="00BF613D">
        <w:rPr>
          <w:rFonts w:ascii="Gotham Light" w:hAnsi="Gotham Light"/>
          <w:noProof/>
        </w:rPr>
        <mc:AlternateContent>
          <mc:Choice Requires="wps">
            <w:drawing>
              <wp:anchor distT="0" distB="0" distL="114300" distR="114300" simplePos="0" relativeHeight="251636736" behindDoc="0" locked="0" layoutInCell="1" allowOverlap="1" wp14:anchorId="6A6F705F" wp14:editId="34D94D08">
                <wp:simplePos x="0" y="0"/>
                <wp:positionH relativeFrom="column">
                  <wp:posOffset>6000115</wp:posOffset>
                </wp:positionH>
                <wp:positionV relativeFrom="paragraph">
                  <wp:posOffset>330890</wp:posOffset>
                </wp:positionV>
                <wp:extent cx="817778" cy="409499"/>
                <wp:effectExtent l="38100" t="19050" r="40005" b="48260"/>
                <wp:wrapNone/>
                <wp:docPr id="4" name="Straight Arrow Connector 4"/>
                <wp:cNvGraphicFramePr/>
                <a:graphic xmlns:a="http://schemas.openxmlformats.org/drawingml/2006/main">
                  <a:graphicData uri="http://schemas.microsoft.com/office/word/2010/wordprocessingShape">
                    <wps:wsp>
                      <wps:cNvCnPr/>
                      <wps:spPr>
                        <a:xfrm flipH="1">
                          <a:off x="0" y="0"/>
                          <a:ext cx="817778" cy="409499"/>
                        </a:xfrm>
                        <a:prstGeom prst="straightConnector1">
                          <a:avLst/>
                        </a:prstGeom>
                        <a:ln w="57150">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A8F713" id="_x0000_t32" coordsize="21600,21600" o:spt="32" o:oned="t" path="m,l21600,21600e" filled="f">
                <v:path arrowok="t" fillok="f" o:connecttype="none"/>
                <o:lock v:ext="edit" shapetype="t"/>
              </v:shapetype>
              <v:shape id="Straight Arrow Connector 4" o:spid="_x0000_s1026" type="#_x0000_t32" style="position:absolute;margin-left:472.45pt;margin-top:26.05pt;width:64.4pt;height:32.25pt;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" strokecolor="#70ad47 [3209]" strokeweight="4.5pt">
                <v:stroke endarrow="block" joinstyle="miter"/>
              </v:shape>
            </w:pict>
          </mc:Fallback>
        </mc:AlternateContent>
      </w:r>
      <w:r w:rsidR="005647BB" w:rsidRPr="00BF613D">
        <w:rPr>
          <w:rFonts w:ascii="Gotham Light" w:hAnsi="Gotham Light"/>
          <w:noProof/>
        </w:rPr>
        <mc:AlternateContent>
          <mc:Choice Requires="wps">
            <w:drawing>
              <wp:anchor distT="0" distB="0" distL="114300" distR="114300" simplePos="0" relativeHeight="251657216" behindDoc="0" locked="0" layoutInCell="1" allowOverlap="1" wp14:anchorId="1DA0E7A9" wp14:editId="62DAA4FA">
                <wp:simplePos x="0" y="0"/>
                <wp:positionH relativeFrom="column">
                  <wp:posOffset>-3658</wp:posOffset>
                </wp:positionH>
                <wp:positionV relativeFrom="paragraph">
                  <wp:posOffset>911200</wp:posOffset>
                </wp:positionV>
                <wp:extent cx="3130906" cy="248716"/>
                <wp:effectExtent l="19050" t="19050" r="12700" b="18415"/>
                <wp:wrapNone/>
                <wp:docPr id="6" name="Rectangle 6"/>
                <wp:cNvGraphicFramePr/>
                <a:graphic xmlns:a="http://schemas.openxmlformats.org/drawingml/2006/main">
                  <a:graphicData uri="http://schemas.microsoft.com/office/word/2010/wordprocessingShape">
                    <wps:wsp>
                      <wps:cNvSpPr/>
                      <wps:spPr>
                        <a:xfrm>
                          <a:off x="0" y="0"/>
                          <a:ext cx="3130906" cy="248716"/>
                        </a:xfrm>
                        <a:prstGeom prst="rect">
                          <a:avLst/>
                        </a:prstGeom>
                        <a:noFill/>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516D7" id="Rectangle 6" o:spid="_x0000_s1026" style="position:absolute;margin-left:-.3pt;margin-top:71.75pt;width:246.55pt;height:19.6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" filled="f" strokecolor="#70ad47 [3209]" strokeweight="3pt"/>
            </w:pict>
          </mc:Fallback>
        </mc:AlternateContent>
      </w:r>
      <w:r w:rsidR="005647BB" w:rsidRPr="00BF613D">
        <w:rPr>
          <w:rFonts w:ascii="Gotham Light" w:hAnsi="Gotham Light"/>
          <w:noProof/>
        </w:rPr>
        <w:drawing>
          <wp:inline distT="0" distB="0" distL="0" distR="0" wp14:anchorId="40135F47" wp14:editId="3EA8B33C">
            <wp:extent cx="6858000" cy="1143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858000" cy="1143635"/>
                    </a:xfrm>
                    <a:prstGeom prst="rect">
                      <a:avLst/>
                    </a:prstGeom>
                  </pic:spPr>
                </pic:pic>
              </a:graphicData>
            </a:graphic>
          </wp:inline>
        </w:drawing>
      </w:r>
    </w:p>
    <w:p w14:paraId="4195E9FF" w14:textId="4BEA9B9C" w:rsidR="005647BB" w:rsidRPr="00BF613D" w:rsidRDefault="005647BB" w:rsidP="003F1AA5">
      <w:pPr>
        <w:spacing w:after="0"/>
        <w:rPr>
          <w:rFonts w:ascii="Gotham Light" w:hAnsi="Gotham Light"/>
          <w:b/>
          <w:color w:val="000000" w:themeColor="text1"/>
        </w:rPr>
      </w:pPr>
    </w:p>
    <w:p w14:paraId="1140F7F7" w14:textId="7CD562B2" w:rsidR="005647BB" w:rsidRPr="00BF613D" w:rsidRDefault="005647BB" w:rsidP="003F1AA5">
      <w:pPr>
        <w:spacing w:after="0"/>
        <w:rPr>
          <w:rFonts w:ascii="Gotham Light" w:hAnsi="Gotham Light"/>
          <w:b/>
          <w:color w:val="000000" w:themeColor="text1"/>
        </w:rPr>
      </w:pPr>
    </w:p>
    <w:p w14:paraId="75FCBDEA" w14:textId="60F74807" w:rsidR="00CB2C80" w:rsidRPr="00BF613D" w:rsidRDefault="00CB2C80" w:rsidP="00772ECA">
      <w:pPr>
        <w:pStyle w:val="Heading1"/>
        <w:rPr>
          <w:rFonts w:ascii="Gotham Light" w:hAnsi="Gotham Light"/>
        </w:rPr>
      </w:pPr>
      <w:r w:rsidRPr="00BF613D">
        <w:rPr>
          <w:rFonts w:ascii="Gotham Light" w:hAnsi="Gotham Light"/>
          <w:noProof/>
        </w:rPr>
        <w:lastRenderedPageBreak/>
        <mc:AlternateContent>
          <mc:Choice Requires="wps">
            <w:drawing>
              <wp:anchor distT="0" distB="0" distL="114300" distR="114300" simplePos="0" relativeHeight="251684864" behindDoc="0" locked="0" layoutInCell="1" allowOverlap="1" wp14:anchorId="71F1BFBB" wp14:editId="782D7235">
                <wp:simplePos x="0" y="0"/>
                <wp:positionH relativeFrom="column">
                  <wp:posOffset>4926412</wp:posOffset>
                </wp:positionH>
                <wp:positionV relativeFrom="paragraph">
                  <wp:posOffset>1794454</wp:posOffset>
                </wp:positionV>
                <wp:extent cx="1416685" cy="612140"/>
                <wp:effectExtent l="1066800" t="0" r="12065" b="16510"/>
                <wp:wrapNone/>
                <wp:docPr id="1" name="Speech Bubble: Rectangle 1"/>
                <wp:cNvGraphicFramePr/>
                <a:graphic xmlns:a="http://schemas.openxmlformats.org/drawingml/2006/main">
                  <a:graphicData uri="http://schemas.microsoft.com/office/word/2010/wordprocessingShape">
                    <wps:wsp>
                      <wps:cNvSpPr/>
                      <wps:spPr>
                        <a:xfrm>
                          <a:off x="0" y="0"/>
                          <a:ext cx="1416685" cy="612140"/>
                        </a:xfrm>
                        <a:prstGeom prst="wedgeRectCallout">
                          <a:avLst>
                            <a:gd name="adj1" fmla="val -121880"/>
                            <a:gd name="adj2" fmla="val 48408"/>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824915" w14:textId="717D13BE" w:rsidR="00401D2A" w:rsidRPr="00A47613" w:rsidRDefault="00996CC1" w:rsidP="00A47613">
                            <w:pPr>
                              <w:spacing w:after="0" w:line="240" w:lineRule="auto"/>
                              <w:jc w:val="center"/>
                              <w:rPr>
                                <w:color w:val="000000" w:themeColor="text1"/>
                                <w:sz w:val="18"/>
                                <w:szCs w:val="18"/>
                              </w:rPr>
                            </w:pPr>
                            <w:r w:rsidRPr="00CB2C80">
                              <w:rPr>
                                <w:color w:val="000000" w:themeColor="text1"/>
                                <w:sz w:val="18"/>
                                <w:szCs w:val="18"/>
                                <w:u w:val="single"/>
                              </w:rPr>
                              <w:t>One</w:t>
                            </w:r>
                            <w:r>
                              <w:rPr>
                                <w:color w:val="000000" w:themeColor="text1"/>
                                <w:sz w:val="18"/>
                                <w:szCs w:val="18"/>
                              </w:rPr>
                              <w:t xml:space="preserve"> specific test must be indicated here.</w:t>
                            </w:r>
                            <w:r w:rsidR="00401D2A" w:rsidRPr="00A47613">
                              <w:rPr>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1F1BFB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 o:spid="_x0000_s1026" type="#_x0000_t61" style="position:absolute;margin-left:387.9pt;margin-top:141.3pt;width:111.55pt;height:48.2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" adj="-15526,21256" fillcolor="#bdd6ee [1300]" strokecolor="#1f4d78 [1604]" strokeweight="1pt">
                <v:textbox>
                  <w:txbxContent>
                    <w:p w14:paraId="37824915" w14:textId="717D13BE" w:rsidR="00401D2A" w:rsidRPr="00A47613" w:rsidRDefault="00996CC1" w:rsidP="00A47613">
                      <w:pPr>
                        <w:spacing w:after="0" w:line="240" w:lineRule="auto"/>
                        <w:jc w:val="center"/>
                        <w:rPr>
                          <w:color w:val="000000" w:themeColor="text1"/>
                          <w:sz w:val="18"/>
                          <w:szCs w:val="18"/>
                        </w:rPr>
                      </w:pPr>
                      <w:r w:rsidRPr="00CB2C80">
                        <w:rPr>
                          <w:color w:val="000000" w:themeColor="text1"/>
                          <w:sz w:val="18"/>
                          <w:szCs w:val="18"/>
                          <w:u w:val="single"/>
                        </w:rPr>
                        <w:t>One</w:t>
                      </w:r>
                      <w:r>
                        <w:rPr>
                          <w:color w:val="000000" w:themeColor="text1"/>
                          <w:sz w:val="18"/>
                          <w:szCs w:val="18"/>
                        </w:rPr>
                        <w:t xml:space="preserve"> specific test must be indicated here.</w:t>
                      </w:r>
                      <w:r w:rsidR="00401D2A" w:rsidRPr="00A47613">
                        <w:rPr>
                          <w:color w:val="000000" w:themeColor="text1"/>
                          <w:sz w:val="18"/>
                          <w:szCs w:val="18"/>
                        </w:rPr>
                        <w:t xml:space="preserve"> </w:t>
                      </w:r>
                    </w:p>
                  </w:txbxContent>
                </v:textbox>
              </v:shape>
            </w:pict>
          </mc:Fallback>
        </mc:AlternateContent>
      </w:r>
      <w:r w:rsidRPr="00BF613D">
        <w:rPr>
          <w:rFonts w:ascii="Gotham Light" w:hAnsi="Gotham Light"/>
          <w:noProof/>
        </w:rPr>
        <mc:AlternateContent>
          <mc:Choice Requires="wps">
            <w:drawing>
              <wp:anchor distT="0" distB="0" distL="114300" distR="114300" simplePos="0" relativeHeight="251673600" behindDoc="0" locked="0" layoutInCell="1" allowOverlap="1" wp14:anchorId="5E68CBC5" wp14:editId="44F66D50">
                <wp:simplePos x="0" y="0"/>
                <wp:positionH relativeFrom="column">
                  <wp:posOffset>-304165</wp:posOffset>
                </wp:positionH>
                <wp:positionV relativeFrom="paragraph">
                  <wp:posOffset>2190446</wp:posOffset>
                </wp:positionV>
                <wp:extent cx="498116" cy="155133"/>
                <wp:effectExtent l="0" t="19050" r="35560" b="92710"/>
                <wp:wrapNone/>
                <wp:docPr id="7" name="Straight Arrow Connector 7"/>
                <wp:cNvGraphicFramePr/>
                <a:graphic xmlns:a="http://schemas.openxmlformats.org/drawingml/2006/main">
                  <a:graphicData uri="http://schemas.microsoft.com/office/word/2010/wordprocessingShape">
                    <wps:wsp>
                      <wps:cNvCnPr/>
                      <wps:spPr>
                        <a:xfrm>
                          <a:off x="0" y="0"/>
                          <a:ext cx="498116" cy="155133"/>
                        </a:xfrm>
                        <a:prstGeom prst="straightConnector1">
                          <a:avLst/>
                        </a:prstGeom>
                        <a:ln w="57150">
                          <a:tailEnd type="triangle"/>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E6A775" id="Straight Arrow Connector 7" o:spid="_x0000_s1026" type="#_x0000_t32" style="position:absolute;margin-left:-23.95pt;margin-top:172.5pt;width:39.2pt;height:1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" strokecolor="#70ad47 [3209]" strokeweight="4.5pt">
                <v:stroke endarrow="block" joinstyle="miter"/>
              </v:shape>
            </w:pict>
          </mc:Fallback>
        </mc:AlternateContent>
      </w:r>
      <w:r w:rsidRPr="00BF613D">
        <w:rPr>
          <w:rFonts w:ascii="Gotham Light" w:hAnsi="Gotham Light"/>
          <w:noProof/>
        </w:rPr>
        <w:drawing>
          <wp:inline distT="0" distB="0" distL="0" distR="0" wp14:anchorId="1782D55F" wp14:editId="0110FACC">
            <wp:extent cx="6071125" cy="3905807"/>
            <wp:effectExtent l="19050" t="19050" r="25400" b="19050"/>
            <wp:docPr id="5"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097084" cy="3922507"/>
                    </a:xfrm>
                    <a:prstGeom prst="rect">
                      <a:avLst/>
                    </a:prstGeom>
                    <a:ln w="19050">
                      <a:solidFill>
                        <a:schemeClr val="tx1"/>
                      </a:solidFill>
                    </a:ln>
                  </pic:spPr>
                </pic:pic>
              </a:graphicData>
            </a:graphic>
          </wp:inline>
        </w:drawing>
      </w:r>
    </w:p>
    <w:p w14:paraId="00A3D3EF" w14:textId="77777777" w:rsidR="00CB2C80" w:rsidRPr="00BF613D" w:rsidRDefault="00CB2C80" w:rsidP="00772ECA">
      <w:pPr>
        <w:pStyle w:val="Heading1"/>
        <w:rPr>
          <w:rFonts w:ascii="Gotham Light" w:hAnsi="Gotham Light"/>
        </w:rPr>
      </w:pPr>
    </w:p>
    <w:p w14:paraId="22E80C1E" w14:textId="028342BC" w:rsidR="00812392" w:rsidRPr="00BF613D" w:rsidRDefault="006A432B" w:rsidP="00772ECA">
      <w:pPr>
        <w:pStyle w:val="Heading1"/>
        <w:rPr>
          <w:rFonts w:ascii="Gotham Light" w:hAnsi="Gotham Light"/>
          <w:color w:val="00586F"/>
          <w:sz w:val="28"/>
          <w:szCs w:val="28"/>
        </w:rPr>
      </w:pPr>
      <w:r w:rsidRPr="00BF613D">
        <w:rPr>
          <w:rFonts w:ascii="Gotham Light" w:hAnsi="Gotham Light"/>
          <w:color w:val="00586F"/>
          <w:sz w:val="28"/>
          <w:szCs w:val="28"/>
        </w:rPr>
        <w:t>How long will you store the DNA if an MGL hold is ordered?</w:t>
      </w:r>
    </w:p>
    <w:p w14:paraId="27C69AF7" w14:textId="6ABCFB43" w:rsidR="002A466E" w:rsidRPr="00BF613D" w:rsidRDefault="0046587A" w:rsidP="002A466E">
      <w:pPr>
        <w:pStyle w:val="xmsonormal"/>
        <w:rPr>
          <w:rFonts w:ascii="Gotham Light" w:hAnsi="Gotham Light" w:cstheme="minorHAnsi"/>
        </w:rPr>
      </w:pPr>
      <w:r w:rsidRPr="00BF613D">
        <w:rPr>
          <w:rFonts w:ascii="Gotham Light" w:eastAsia="Times New Roman" w:hAnsi="Gotham Light" w:cstheme="minorHAnsi"/>
          <w:color w:val="000000" w:themeColor="text1"/>
        </w:rPr>
        <w:t>MGL Hold s</w:t>
      </w:r>
      <w:r w:rsidR="002A466E" w:rsidRPr="00BF613D">
        <w:rPr>
          <w:rFonts w:ascii="Gotham Light" w:eastAsia="Times New Roman" w:hAnsi="Gotham Light" w:cstheme="minorHAnsi"/>
          <w:color w:val="000000" w:themeColor="text1"/>
        </w:rPr>
        <w:t>amples will be held for 1 year and will</w:t>
      </w:r>
      <w:r w:rsidR="002A466E" w:rsidRPr="00BF613D">
        <w:rPr>
          <w:rFonts w:ascii="Gotham Light" w:hAnsi="Gotham Light"/>
          <w:color w:val="000000" w:themeColor="text1"/>
        </w:rPr>
        <w:t xml:space="preserve"> automatically be discarded, without additional notification, if not used before then.</w:t>
      </w:r>
      <w:r w:rsidR="002A466E" w:rsidRPr="00BF613D">
        <w:rPr>
          <w:rFonts w:ascii="Gotham Light" w:eastAsia="Times New Roman" w:hAnsi="Gotham Light" w:cstheme="minorHAnsi"/>
          <w:color w:val="000000" w:themeColor="text1"/>
        </w:rPr>
        <w:t xml:space="preserve">  </w:t>
      </w:r>
      <w:r w:rsidR="002A466E" w:rsidRPr="00BF613D">
        <w:rPr>
          <w:rFonts w:ascii="Gotham Light" w:hAnsi="Gotham Light" w:cstheme="minorHAnsi"/>
        </w:rPr>
        <w:t xml:space="preserve">MGL Hold orders will continue to be limited to SCH patients with extenuating circumstances noted in the criteria </w:t>
      </w:r>
      <w:r w:rsidR="00F5603A" w:rsidRPr="00BF613D">
        <w:rPr>
          <w:rFonts w:ascii="Gotham Light" w:hAnsi="Gotham Light" w:cstheme="minorHAnsi"/>
        </w:rPr>
        <w:t>above</w:t>
      </w:r>
      <w:r w:rsidR="002A466E" w:rsidRPr="00BF613D">
        <w:rPr>
          <w:rFonts w:ascii="Gotham Light" w:hAnsi="Gotham Light" w:cstheme="minorHAnsi"/>
        </w:rPr>
        <w:t xml:space="preserve">.  </w:t>
      </w:r>
    </w:p>
    <w:p w14:paraId="469ECAFE" w14:textId="77777777" w:rsidR="006A432B" w:rsidRPr="00BF613D" w:rsidRDefault="006A432B" w:rsidP="00772ECA">
      <w:pPr>
        <w:pStyle w:val="Heading1"/>
        <w:rPr>
          <w:rFonts w:ascii="Gotham Light" w:hAnsi="Gotham Light"/>
          <w:color w:val="00586F"/>
          <w:sz w:val="28"/>
          <w:szCs w:val="28"/>
        </w:rPr>
      </w:pPr>
      <w:r w:rsidRPr="00BF613D">
        <w:rPr>
          <w:rFonts w:ascii="Gotham Light" w:hAnsi="Gotham Light"/>
          <w:color w:val="00586F"/>
          <w:sz w:val="28"/>
          <w:szCs w:val="28"/>
        </w:rPr>
        <w:t>Why are samples being held for 1 year?</w:t>
      </w:r>
    </w:p>
    <w:p w14:paraId="17C85E5A" w14:textId="6F0032CC" w:rsidR="006A432B" w:rsidRPr="00BF613D" w:rsidRDefault="003F1AA5" w:rsidP="006A432B">
      <w:pPr>
        <w:pStyle w:val="NoSpacing"/>
        <w:rPr>
          <w:rFonts w:ascii="Gotham Light" w:hAnsi="Gotham Light"/>
        </w:rPr>
      </w:pPr>
      <w:r w:rsidRPr="00BF613D">
        <w:rPr>
          <w:rFonts w:ascii="Gotham Light" w:hAnsi="Gotham Light"/>
        </w:rPr>
        <w:t xml:space="preserve">Insurance </w:t>
      </w:r>
      <w:proofErr w:type="spellStart"/>
      <w:r w:rsidRPr="00BF613D">
        <w:rPr>
          <w:rFonts w:ascii="Gotham Light" w:hAnsi="Gotham Light"/>
        </w:rPr>
        <w:t>preauthorizations</w:t>
      </w:r>
      <w:proofErr w:type="spellEnd"/>
      <w:r w:rsidR="006A432B" w:rsidRPr="00BF613D">
        <w:rPr>
          <w:rFonts w:ascii="Gotham Light" w:hAnsi="Gotham Light"/>
        </w:rPr>
        <w:t xml:space="preserve"> </w:t>
      </w:r>
      <w:r w:rsidR="0046587A" w:rsidRPr="00BF613D">
        <w:rPr>
          <w:rFonts w:ascii="Gotham Light" w:hAnsi="Gotham Light"/>
        </w:rPr>
        <w:t>are</w:t>
      </w:r>
      <w:r w:rsidR="006A432B" w:rsidRPr="00BF613D">
        <w:rPr>
          <w:rFonts w:ascii="Gotham Light" w:hAnsi="Gotham Light"/>
        </w:rPr>
        <w:t xml:space="preserve"> complex, and we k</w:t>
      </w:r>
      <w:r w:rsidRPr="00BF613D">
        <w:rPr>
          <w:rFonts w:ascii="Gotham Light" w:hAnsi="Gotham Light"/>
        </w:rPr>
        <w:t xml:space="preserve">now that the coordination once </w:t>
      </w:r>
      <w:proofErr w:type="spellStart"/>
      <w:r w:rsidRPr="00BF613D">
        <w:rPr>
          <w:rFonts w:ascii="Gotham Light" w:hAnsi="Gotham Light"/>
        </w:rPr>
        <w:t>preauth</w:t>
      </w:r>
      <w:proofErr w:type="spellEnd"/>
      <w:r w:rsidR="006A432B" w:rsidRPr="00BF613D">
        <w:rPr>
          <w:rFonts w:ascii="Gotham Light" w:hAnsi="Gotham Light"/>
        </w:rPr>
        <w:t xml:space="preserve"> is complete is complex.  We </w:t>
      </w:r>
      <w:r w:rsidR="00F5603A" w:rsidRPr="00BF613D">
        <w:rPr>
          <w:rFonts w:ascii="Gotham Light" w:hAnsi="Gotham Light"/>
        </w:rPr>
        <w:t>established</w:t>
      </w:r>
      <w:r w:rsidR="006A432B" w:rsidRPr="00BF613D">
        <w:rPr>
          <w:rFonts w:ascii="Gotham Light" w:hAnsi="Gotham Light"/>
        </w:rPr>
        <w:t xml:space="preserve"> this timeframe to prevent the need to </w:t>
      </w:r>
      <w:r w:rsidR="00F5603A" w:rsidRPr="00BF613D">
        <w:rPr>
          <w:rFonts w:ascii="Gotham Light" w:hAnsi="Gotham Light"/>
        </w:rPr>
        <w:t xml:space="preserve">request </w:t>
      </w:r>
      <w:r w:rsidR="006A432B" w:rsidRPr="00BF613D">
        <w:rPr>
          <w:rFonts w:ascii="Gotham Light" w:hAnsi="Gotham Light"/>
        </w:rPr>
        <w:t xml:space="preserve">extensions and ensure the sample is available as intended – however, </w:t>
      </w:r>
      <w:proofErr w:type="gramStart"/>
      <w:r w:rsidR="006A432B" w:rsidRPr="00BF613D">
        <w:rPr>
          <w:rFonts w:ascii="Gotham Light" w:hAnsi="Gotham Light"/>
        </w:rPr>
        <w:t>in all likelihood</w:t>
      </w:r>
      <w:proofErr w:type="gramEnd"/>
      <w:r w:rsidR="006A432B" w:rsidRPr="00BF613D">
        <w:rPr>
          <w:rFonts w:ascii="Gotham Light" w:hAnsi="Gotham Light"/>
        </w:rPr>
        <w:t xml:space="preserve">, samples will be used much earlier.  </w:t>
      </w:r>
      <w:r w:rsidR="00F5603A" w:rsidRPr="00BF613D">
        <w:rPr>
          <w:rFonts w:ascii="Gotham Light" w:hAnsi="Gotham Light"/>
        </w:rPr>
        <w:t>A</w:t>
      </w:r>
      <w:r w:rsidR="006A432B" w:rsidRPr="00BF613D">
        <w:rPr>
          <w:rFonts w:ascii="Gotham Light" w:hAnsi="Gotham Light"/>
        </w:rPr>
        <w:t xml:space="preserve"> </w:t>
      </w:r>
      <w:proofErr w:type="gramStart"/>
      <w:r w:rsidR="006A432B" w:rsidRPr="00BF613D">
        <w:rPr>
          <w:rFonts w:ascii="Gotham Light" w:hAnsi="Gotham Light"/>
        </w:rPr>
        <w:t>1 year</w:t>
      </w:r>
      <w:proofErr w:type="gramEnd"/>
      <w:r w:rsidR="006A432B" w:rsidRPr="00BF613D">
        <w:rPr>
          <w:rFonts w:ascii="Gotham Light" w:hAnsi="Gotham Light"/>
        </w:rPr>
        <w:t xml:space="preserve"> timeframe also makes it easier for providers/staff to assess if a collected sample is still available (provided testing hasn’t been completed) – 1 year is a nice round number!</w:t>
      </w:r>
    </w:p>
    <w:p w14:paraId="3FB6B33C" w14:textId="01A50898" w:rsidR="00F52544" w:rsidRPr="00BF613D" w:rsidRDefault="007C50B5" w:rsidP="00772ECA">
      <w:pPr>
        <w:pStyle w:val="Heading1"/>
        <w:rPr>
          <w:rFonts w:ascii="Gotham Light" w:hAnsi="Gotham Light"/>
          <w:color w:val="00586F"/>
          <w:sz w:val="28"/>
          <w:szCs w:val="28"/>
        </w:rPr>
      </w:pPr>
      <w:r w:rsidRPr="00BF613D">
        <w:rPr>
          <w:rFonts w:ascii="Gotham Light" w:hAnsi="Gotham Light"/>
          <w:color w:val="00586F"/>
          <w:sz w:val="28"/>
          <w:szCs w:val="28"/>
        </w:rPr>
        <w:t>How can a provider determine if</w:t>
      </w:r>
      <w:r w:rsidR="00F52544" w:rsidRPr="00BF613D">
        <w:rPr>
          <w:rFonts w:ascii="Gotham Light" w:hAnsi="Gotham Light"/>
          <w:color w:val="00586F"/>
          <w:sz w:val="28"/>
          <w:szCs w:val="28"/>
        </w:rPr>
        <w:t xml:space="preserve"> an MGL hold has been ordered?</w:t>
      </w:r>
    </w:p>
    <w:p w14:paraId="1793C136" w14:textId="54BE556E" w:rsidR="007C50B5" w:rsidRPr="00BF613D" w:rsidRDefault="001435AE" w:rsidP="00F52544">
      <w:pPr>
        <w:spacing w:after="0"/>
        <w:rPr>
          <w:rFonts w:ascii="Gotham Light" w:eastAsia="Times New Roman" w:hAnsi="Gotham Light" w:cstheme="minorHAnsi"/>
          <w:color w:val="000000" w:themeColor="text1"/>
        </w:rPr>
      </w:pPr>
      <w:r w:rsidRPr="00BF613D">
        <w:rPr>
          <w:rFonts w:ascii="Gotham Light" w:hAnsi="Gotham Light"/>
          <w:color w:val="000000" w:themeColor="text1"/>
        </w:rPr>
        <w:t xml:space="preserve">MGL hold orders placed in Epic are visible within the Lab tab. </w:t>
      </w:r>
    </w:p>
    <w:p w14:paraId="67BBB8B5" w14:textId="77777777" w:rsidR="003F1AA5" w:rsidRPr="00BF613D" w:rsidRDefault="003F1AA5" w:rsidP="003F1AA5">
      <w:pPr>
        <w:pStyle w:val="Heading1"/>
        <w:rPr>
          <w:rFonts w:ascii="Gotham Light" w:hAnsi="Gotham Light"/>
          <w:color w:val="00586F"/>
          <w:sz w:val="28"/>
          <w:szCs w:val="28"/>
        </w:rPr>
      </w:pPr>
      <w:r w:rsidRPr="00BF613D">
        <w:rPr>
          <w:rFonts w:ascii="Gotham Light" w:hAnsi="Gotham Light"/>
          <w:color w:val="00586F"/>
          <w:sz w:val="28"/>
          <w:szCs w:val="28"/>
        </w:rPr>
        <w:t>How does a provider use an MGL hold sample for testing?</w:t>
      </w:r>
    </w:p>
    <w:p w14:paraId="1258E0A4" w14:textId="5B463F86" w:rsidR="003F1AA5" w:rsidRPr="00BF613D" w:rsidRDefault="003F1AA5" w:rsidP="00A47613">
      <w:pPr>
        <w:spacing w:after="0"/>
        <w:rPr>
          <w:rFonts w:ascii="Gotham Light" w:hAnsi="Gotham Light"/>
          <w:color w:val="000000" w:themeColor="text1"/>
        </w:rPr>
      </w:pPr>
      <w:r w:rsidRPr="00BF613D">
        <w:rPr>
          <w:rFonts w:ascii="Gotham Light" w:hAnsi="Gotham Light"/>
          <w:color w:val="000000" w:themeColor="text1"/>
        </w:rPr>
        <w:t>Once preauthorization has been obtained and there is confirmation of the testing plan</w:t>
      </w:r>
      <w:r w:rsidR="003F2BFB" w:rsidRPr="00BF613D">
        <w:rPr>
          <w:rFonts w:ascii="Gotham Light" w:hAnsi="Gotham Light"/>
          <w:color w:val="000000" w:themeColor="text1"/>
        </w:rPr>
        <w:t xml:space="preserve">, </w:t>
      </w:r>
      <w:r w:rsidR="00CB0C60" w:rsidRPr="00BF613D">
        <w:rPr>
          <w:rFonts w:ascii="Gotham Light" w:hAnsi="Gotham Light"/>
          <w:color w:val="000000" w:themeColor="text1"/>
        </w:rPr>
        <w:t xml:space="preserve">refer to the </w:t>
      </w:r>
      <w:proofErr w:type="spellStart"/>
      <w:r w:rsidR="00CB0C60" w:rsidRPr="00BF613D">
        <w:rPr>
          <w:rFonts w:ascii="Gotham Light" w:hAnsi="Gotham Light"/>
          <w:color w:val="000000" w:themeColor="text1"/>
        </w:rPr>
        <w:t>PolicyStat</w:t>
      </w:r>
      <w:proofErr w:type="spellEnd"/>
      <w:r w:rsidR="00CB0C60" w:rsidRPr="00BF613D">
        <w:rPr>
          <w:rFonts w:ascii="Gotham Light" w:hAnsi="Gotham Light"/>
          <w:color w:val="000000" w:themeColor="text1"/>
        </w:rPr>
        <w:t xml:space="preserve"> Job Aid: Genetic Test Coordination at Seattle Children’s for steps to</w:t>
      </w:r>
      <w:r w:rsidR="003F2BFB" w:rsidRPr="00BF613D">
        <w:rPr>
          <w:rFonts w:ascii="Gotham Light" w:hAnsi="Gotham Light"/>
          <w:color w:val="000000" w:themeColor="text1"/>
        </w:rPr>
        <w:t xml:space="preserve"> </w:t>
      </w:r>
      <w:r w:rsidR="003F2BFB" w:rsidRPr="00BF613D">
        <w:rPr>
          <w:rFonts w:ascii="Gotham Light" w:hAnsi="Gotham Light"/>
        </w:rPr>
        <w:t xml:space="preserve">order a test using </w:t>
      </w:r>
      <w:r w:rsidR="001D671D" w:rsidRPr="00BF613D">
        <w:rPr>
          <w:rFonts w:ascii="Gotham Light" w:hAnsi="Gotham Light"/>
        </w:rPr>
        <w:t>a</w:t>
      </w:r>
      <w:r w:rsidR="00B1404C" w:rsidRPr="00BF613D">
        <w:rPr>
          <w:rFonts w:ascii="Gotham Light" w:hAnsi="Gotham Light"/>
        </w:rPr>
        <w:t>n</w:t>
      </w:r>
      <w:r w:rsidR="001D671D" w:rsidRPr="00BF613D">
        <w:rPr>
          <w:rFonts w:ascii="Gotham Light" w:hAnsi="Gotham Light"/>
        </w:rPr>
        <w:t xml:space="preserve"> </w:t>
      </w:r>
      <w:r w:rsidR="003F2BFB" w:rsidRPr="00BF613D">
        <w:rPr>
          <w:rFonts w:ascii="Gotham Light" w:hAnsi="Gotham Light"/>
        </w:rPr>
        <w:t>MGL hold sample</w:t>
      </w:r>
      <w:r w:rsidR="001D671D" w:rsidRPr="00BF613D">
        <w:rPr>
          <w:rFonts w:ascii="Gotham Light" w:hAnsi="Gotham Light"/>
        </w:rPr>
        <w:t xml:space="preserve"> or banked DNA</w:t>
      </w:r>
      <w:r w:rsidR="00CB0C60" w:rsidRPr="00BF613D">
        <w:rPr>
          <w:rFonts w:ascii="Gotham Light" w:hAnsi="Gotham Light"/>
        </w:rPr>
        <w:t>.</w:t>
      </w:r>
    </w:p>
    <w:p w14:paraId="1425C6DF" w14:textId="77777777" w:rsidR="003F1AA5" w:rsidRPr="00BF613D" w:rsidRDefault="003F1AA5" w:rsidP="003F1AA5">
      <w:pPr>
        <w:pStyle w:val="Heading1"/>
        <w:rPr>
          <w:rFonts w:ascii="Gotham Light" w:hAnsi="Gotham Light"/>
          <w:color w:val="00586F"/>
          <w:sz w:val="28"/>
          <w:szCs w:val="28"/>
        </w:rPr>
      </w:pPr>
      <w:r w:rsidRPr="00BF613D">
        <w:rPr>
          <w:rFonts w:ascii="Gotham Light" w:hAnsi="Gotham Light"/>
          <w:color w:val="00586F"/>
          <w:sz w:val="28"/>
          <w:szCs w:val="28"/>
        </w:rPr>
        <w:lastRenderedPageBreak/>
        <w:t>What is the cost of an MGL hold?</w:t>
      </w:r>
    </w:p>
    <w:p w14:paraId="084B1508" w14:textId="317D410F" w:rsidR="003F1AA5" w:rsidRPr="00BF613D" w:rsidRDefault="003F1AA5" w:rsidP="003F1AA5">
      <w:pPr>
        <w:spacing w:after="0"/>
        <w:rPr>
          <w:rFonts w:ascii="Gotham Light" w:hAnsi="Gotham Light"/>
          <w:color w:val="000000" w:themeColor="text1"/>
        </w:rPr>
      </w:pPr>
      <w:r w:rsidRPr="00BF613D">
        <w:rPr>
          <w:rFonts w:ascii="Gotham Light" w:hAnsi="Gotham Light"/>
          <w:color w:val="000000" w:themeColor="text1"/>
        </w:rPr>
        <w:t>There is no additional charge to the patient for this MGL Hold process</w:t>
      </w:r>
      <w:r w:rsidR="00DE2D1D" w:rsidRPr="00BF613D">
        <w:rPr>
          <w:rFonts w:ascii="Gotham Light" w:hAnsi="Gotham Light"/>
          <w:color w:val="000000" w:themeColor="text1"/>
        </w:rPr>
        <w:t>,</w:t>
      </w:r>
      <w:r w:rsidRPr="00BF613D">
        <w:rPr>
          <w:rFonts w:ascii="Gotham Light" w:hAnsi="Gotham Light"/>
          <w:color w:val="000000" w:themeColor="text1"/>
        </w:rPr>
        <w:t xml:space="preserve"> but it does use additional clinical team and lab team resources to do this.</w:t>
      </w:r>
    </w:p>
    <w:p w14:paraId="7DB7AE86" w14:textId="22C11517" w:rsidR="003F1AA5" w:rsidRPr="00BF613D" w:rsidRDefault="003F1AA5" w:rsidP="003F1AA5">
      <w:pPr>
        <w:pStyle w:val="Heading1"/>
        <w:rPr>
          <w:rFonts w:ascii="Gotham Light" w:hAnsi="Gotham Light"/>
          <w:color w:val="00586F"/>
          <w:sz w:val="28"/>
          <w:szCs w:val="28"/>
        </w:rPr>
      </w:pPr>
      <w:r w:rsidRPr="00BF613D">
        <w:rPr>
          <w:rFonts w:ascii="Gotham Light" w:hAnsi="Gotham Light"/>
          <w:color w:val="00586F"/>
          <w:sz w:val="28"/>
          <w:szCs w:val="28"/>
        </w:rPr>
        <w:t>Can MGL hold be utilized by researchers, who have previously used DNA banking?</w:t>
      </w:r>
    </w:p>
    <w:p w14:paraId="0AAF5048" w14:textId="62CD7933" w:rsidR="003F1AA5" w:rsidRPr="00BF613D" w:rsidRDefault="003F1AA5" w:rsidP="003F1AA5">
      <w:pPr>
        <w:pStyle w:val="NoSpacing"/>
        <w:rPr>
          <w:rFonts w:ascii="Gotham Light" w:hAnsi="Gotham Light"/>
        </w:rPr>
      </w:pPr>
      <w:r w:rsidRPr="00BF613D">
        <w:rPr>
          <w:rFonts w:ascii="Gotham Light" w:hAnsi="Gotham Light"/>
        </w:rPr>
        <w:t xml:space="preserve">No. MGL holds will be restricted to clinical use only, for </w:t>
      </w:r>
      <w:r w:rsidR="00CB0C60" w:rsidRPr="00BF613D">
        <w:rPr>
          <w:rFonts w:ascii="Gotham Light" w:hAnsi="Gotham Light"/>
        </w:rPr>
        <w:t>one</w:t>
      </w:r>
      <w:r w:rsidRPr="00BF613D">
        <w:rPr>
          <w:rFonts w:ascii="Gotham Light" w:hAnsi="Gotham Light"/>
        </w:rPr>
        <w:t xml:space="preserve"> specific clinical genetic test.</w:t>
      </w:r>
    </w:p>
    <w:p w14:paraId="02A7888A" w14:textId="39802CEC" w:rsidR="003F1AA5" w:rsidRPr="00BF613D" w:rsidRDefault="003F1AA5" w:rsidP="003F1AA5">
      <w:pPr>
        <w:pStyle w:val="NoSpacing"/>
        <w:rPr>
          <w:rFonts w:ascii="Gotham Light" w:hAnsi="Gotham Light"/>
        </w:rPr>
      </w:pPr>
    </w:p>
    <w:p w14:paraId="4FFAE239" w14:textId="43E44123" w:rsidR="005679F8" w:rsidRPr="00BF613D" w:rsidRDefault="005679F8" w:rsidP="005679F8">
      <w:pPr>
        <w:pStyle w:val="Heading1"/>
        <w:rPr>
          <w:rFonts w:ascii="Gotham Light" w:hAnsi="Gotham Light"/>
          <w:color w:val="00586F"/>
          <w:sz w:val="28"/>
          <w:szCs w:val="28"/>
        </w:rPr>
      </w:pPr>
      <w:r w:rsidRPr="00BF613D">
        <w:rPr>
          <w:rFonts w:ascii="Gotham Light" w:hAnsi="Gotham Light"/>
          <w:color w:val="00586F"/>
          <w:sz w:val="28"/>
          <w:szCs w:val="28"/>
        </w:rPr>
        <w:t>Who can I contact if I have additional questions?</w:t>
      </w:r>
    </w:p>
    <w:p w14:paraId="66C5902F" w14:textId="7FAF8891" w:rsidR="005679F8" w:rsidRPr="00BF613D" w:rsidRDefault="005679F8" w:rsidP="005679F8">
      <w:pPr>
        <w:pStyle w:val="NoSpacing"/>
        <w:rPr>
          <w:rFonts w:ascii="Gotham Light" w:hAnsi="Gotham Light"/>
        </w:rPr>
      </w:pPr>
      <w:r w:rsidRPr="00BF613D">
        <w:rPr>
          <w:rFonts w:ascii="Gotham Light" w:hAnsi="Gotham Light"/>
        </w:rPr>
        <w:t>LabGC team –</w:t>
      </w:r>
      <w:hyperlink r:id="rId14" w:history="1">
        <w:r w:rsidRPr="00BF613D">
          <w:rPr>
            <w:rStyle w:val="Hyperlink"/>
            <w:rFonts w:ascii="Gotham Light" w:hAnsi="Gotham Light"/>
          </w:rPr>
          <w:t>LabGC@seattlechildrens.org</w:t>
        </w:r>
      </w:hyperlink>
      <w:r w:rsidRPr="00BF613D">
        <w:rPr>
          <w:rFonts w:ascii="Gotham Light" w:hAnsi="Gotham Light"/>
        </w:rPr>
        <w:t xml:space="preserve"> or </w:t>
      </w:r>
      <w:r w:rsidR="007C50B5" w:rsidRPr="00BF613D">
        <w:rPr>
          <w:rFonts w:ascii="Gotham Light" w:hAnsi="Gotham Light"/>
        </w:rPr>
        <w:t xml:space="preserve">Lab Client Services – </w:t>
      </w:r>
      <w:hyperlink r:id="rId15" w:history="1">
        <w:r w:rsidR="00CB0C60" w:rsidRPr="00BF613D">
          <w:rPr>
            <w:rStyle w:val="Hyperlink"/>
            <w:rFonts w:ascii="Gotham Light" w:hAnsi="Gotham Light"/>
          </w:rPr>
          <w:t>labclientservices@seattlechildrens.org</w:t>
        </w:r>
      </w:hyperlink>
      <w:r w:rsidR="00CB0C60" w:rsidRPr="00BF613D">
        <w:rPr>
          <w:rFonts w:ascii="Gotham Light" w:hAnsi="Gotham Light"/>
        </w:rPr>
        <w:t xml:space="preserve"> / 98</w:t>
      </w:r>
      <w:r w:rsidR="007C50B5" w:rsidRPr="00BF613D">
        <w:rPr>
          <w:rFonts w:ascii="Gotham Light" w:hAnsi="Gotham Light"/>
        </w:rPr>
        <w:t xml:space="preserve">7-2617 </w:t>
      </w:r>
    </w:p>
    <w:p w14:paraId="05483513" w14:textId="77777777" w:rsidR="005679F8" w:rsidRPr="00BF613D" w:rsidRDefault="005679F8" w:rsidP="003F1AA5">
      <w:pPr>
        <w:pStyle w:val="NoSpacing"/>
        <w:rPr>
          <w:rFonts w:ascii="Gotham Light" w:hAnsi="Gotham Light"/>
        </w:rPr>
      </w:pPr>
    </w:p>
    <w:sectPr w:rsidR="005679F8" w:rsidRPr="00BF613D" w:rsidSect="00D140FA">
      <w:headerReference w:type="default" r:id="rId16"/>
      <w:footerReference w:type="default" r:id="rId1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91845" w14:textId="77777777" w:rsidR="005D3678" w:rsidRDefault="005D3678" w:rsidP="005D3678">
      <w:pPr>
        <w:spacing w:after="0" w:line="240" w:lineRule="auto"/>
      </w:pPr>
      <w:r>
        <w:separator/>
      </w:r>
    </w:p>
  </w:endnote>
  <w:endnote w:type="continuationSeparator" w:id="0">
    <w:p w14:paraId="559A4BEC" w14:textId="77777777" w:rsidR="005D3678" w:rsidRDefault="005D3678" w:rsidP="005D3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panose1 w:val="02000803030000020004"/>
    <w:charset w:val="00"/>
    <w:family w:val="auto"/>
    <w:pitch w:val="variable"/>
    <w:sig w:usb0="A00000FF" w:usb1="4000004A" w:usb2="00000000" w:usb3="00000000" w:csb0="0000011B" w:csb1="00000000"/>
  </w:font>
  <w:font w:name="Gotham Light">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377029"/>
      <w:docPartObj>
        <w:docPartGallery w:val="Page Numbers (Bottom of Page)"/>
        <w:docPartUnique/>
      </w:docPartObj>
    </w:sdtPr>
    <w:sdtEndPr>
      <w:rPr>
        <w:noProof/>
      </w:rPr>
    </w:sdtEndPr>
    <w:sdtContent>
      <w:p w14:paraId="078B60CA" w14:textId="60B873B4" w:rsidR="00DE7DAB" w:rsidRDefault="00DE7DAB">
        <w:pPr>
          <w:pStyle w:val="Footer"/>
          <w:jc w:val="right"/>
        </w:pPr>
        <w:r>
          <w:fldChar w:fldCharType="begin"/>
        </w:r>
        <w:r>
          <w:instrText xml:space="preserve"> PAGE   \* MERGEFORMAT </w:instrText>
        </w:r>
        <w:r>
          <w:fldChar w:fldCharType="separate"/>
        </w:r>
        <w:r w:rsidR="00F42656">
          <w:rPr>
            <w:noProof/>
          </w:rPr>
          <w:t>2</w:t>
        </w:r>
        <w:r>
          <w:rPr>
            <w:noProof/>
          </w:rPr>
          <w:fldChar w:fldCharType="end"/>
        </w:r>
      </w:p>
    </w:sdtContent>
  </w:sdt>
  <w:p w14:paraId="11782C38" w14:textId="77A91242" w:rsidR="00DE7DAB" w:rsidRPr="000863A4" w:rsidRDefault="000863A4" w:rsidP="000863A4">
    <w:pPr>
      <w:spacing w:after="0"/>
      <w:rPr>
        <w:color w:val="000000" w:themeColor="text1"/>
      </w:rPr>
    </w:pPr>
    <w:r>
      <w:rPr>
        <w:color w:val="000000" w:themeColor="text1"/>
      </w:rPr>
      <w:t xml:space="preserve">Last updated </w:t>
    </w:r>
    <w:proofErr w:type="gramStart"/>
    <w:r w:rsidR="008B234B">
      <w:rPr>
        <w:color w:val="000000" w:themeColor="text1"/>
      </w:rPr>
      <w:t>6/26/24</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C61FB" w14:textId="77777777" w:rsidR="005D3678" w:rsidRDefault="005D3678" w:rsidP="005D3678">
      <w:pPr>
        <w:spacing w:after="0" w:line="240" w:lineRule="auto"/>
      </w:pPr>
      <w:r>
        <w:separator/>
      </w:r>
    </w:p>
  </w:footnote>
  <w:footnote w:type="continuationSeparator" w:id="0">
    <w:p w14:paraId="58C101FC" w14:textId="77777777" w:rsidR="005D3678" w:rsidRDefault="005D3678" w:rsidP="005D36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4E69" w14:textId="2357DA57" w:rsidR="005D3678" w:rsidRPr="005D3678" w:rsidRDefault="00DE7DAB" w:rsidP="0060281D">
    <w:pPr>
      <w:pStyle w:val="Header"/>
      <w:tabs>
        <w:tab w:val="center" w:pos="5400"/>
        <w:tab w:val="right" w:pos="10800"/>
      </w:tabs>
      <w:rPr>
        <w:b/>
        <w:sz w:val="48"/>
        <w:szCs w:val="48"/>
      </w:rPr>
    </w:pPr>
    <w:r>
      <w:rPr>
        <w:b/>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04F61"/>
    <w:multiLevelType w:val="hybridMultilevel"/>
    <w:tmpl w:val="5DF4AE1E"/>
    <w:lvl w:ilvl="0" w:tplc="22CA07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F480B"/>
    <w:multiLevelType w:val="hybridMultilevel"/>
    <w:tmpl w:val="18A022E0"/>
    <w:lvl w:ilvl="0" w:tplc="22CA07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80819"/>
    <w:multiLevelType w:val="hybridMultilevel"/>
    <w:tmpl w:val="9962DCF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1A3E7994"/>
    <w:multiLevelType w:val="hybridMultilevel"/>
    <w:tmpl w:val="D7A46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941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67613B2"/>
    <w:multiLevelType w:val="hybridMultilevel"/>
    <w:tmpl w:val="8E1EC0FC"/>
    <w:lvl w:ilvl="0" w:tplc="22CA07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36D4A"/>
    <w:multiLevelType w:val="hybridMultilevel"/>
    <w:tmpl w:val="C97E7946"/>
    <w:lvl w:ilvl="0" w:tplc="22CA07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A05FB5"/>
    <w:multiLevelType w:val="hybridMultilevel"/>
    <w:tmpl w:val="EB7C90C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8" w15:restartNumberingAfterBreak="0">
    <w:nsid w:val="62983062"/>
    <w:multiLevelType w:val="hybridMultilevel"/>
    <w:tmpl w:val="887ED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B620F4"/>
    <w:multiLevelType w:val="hybridMultilevel"/>
    <w:tmpl w:val="E4DC7B38"/>
    <w:lvl w:ilvl="0" w:tplc="22CA07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E30852"/>
    <w:multiLevelType w:val="hybridMultilevel"/>
    <w:tmpl w:val="C478B23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1" w15:restartNumberingAfterBreak="0">
    <w:nsid w:val="7BE37BE6"/>
    <w:multiLevelType w:val="hybridMultilevel"/>
    <w:tmpl w:val="0DDA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787972">
    <w:abstractNumId w:val="3"/>
  </w:num>
  <w:num w:numId="2" w16cid:durableId="13287544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2808276">
    <w:abstractNumId w:val="10"/>
  </w:num>
  <w:num w:numId="4" w16cid:durableId="1403797430">
    <w:abstractNumId w:val="8"/>
  </w:num>
  <w:num w:numId="5" w16cid:durableId="1684282083">
    <w:abstractNumId w:val="11"/>
  </w:num>
  <w:num w:numId="6" w16cid:durableId="2039504415">
    <w:abstractNumId w:val="0"/>
  </w:num>
  <w:num w:numId="7" w16cid:durableId="1924142101">
    <w:abstractNumId w:val="1"/>
  </w:num>
  <w:num w:numId="8" w16cid:durableId="482164279">
    <w:abstractNumId w:val="9"/>
  </w:num>
  <w:num w:numId="9" w16cid:durableId="548300088">
    <w:abstractNumId w:val="5"/>
  </w:num>
  <w:num w:numId="10" w16cid:durableId="975185937">
    <w:abstractNumId w:val="6"/>
  </w:num>
  <w:num w:numId="11" w16cid:durableId="367221902">
    <w:abstractNumId w:val="2"/>
  </w:num>
  <w:num w:numId="12" w16cid:durableId="20918539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678"/>
    <w:rsid w:val="000863A4"/>
    <w:rsid w:val="000B5D60"/>
    <w:rsid w:val="000E2FB1"/>
    <w:rsid w:val="00125574"/>
    <w:rsid w:val="001435AE"/>
    <w:rsid w:val="001D576B"/>
    <w:rsid w:val="001D671D"/>
    <w:rsid w:val="00237D14"/>
    <w:rsid w:val="00242100"/>
    <w:rsid w:val="002A3099"/>
    <w:rsid w:val="002A3576"/>
    <w:rsid w:val="002A466E"/>
    <w:rsid w:val="002B10D9"/>
    <w:rsid w:val="002B71BE"/>
    <w:rsid w:val="00350003"/>
    <w:rsid w:val="0036267C"/>
    <w:rsid w:val="003655C0"/>
    <w:rsid w:val="00397939"/>
    <w:rsid w:val="003E2B3C"/>
    <w:rsid w:val="003F1AA5"/>
    <w:rsid w:val="003F2BFB"/>
    <w:rsid w:val="00401D2A"/>
    <w:rsid w:val="00404436"/>
    <w:rsid w:val="004123B8"/>
    <w:rsid w:val="0044450B"/>
    <w:rsid w:val="00461BA1"/>
    <w:rsid w:val="0046587A"/>
    <w:rsid w:val="004A5DE0"/>
    <w:rsid w:val="004D60C1"/>
    <w:rsid w:val="004F1823"/>
    <w:rsid w:val="00562217"/>
    <w:rsid w:val="005647BB"/>
    <w:rsid w:val="005679F8"/>
    <w:rsid w:val="0057438B"/>
    <w:rsid w:val="00585264"/>
    <w:rsid w:val="005B6809"/>
    <w:rsid w:val="005C74E0"/>
    <w:rsid w:val="005D3678"/>
    <w:rsid w:val="0060281D"/>
    <w:rsid w:val="00666845"/>
    <w:rsid w:val="00685188"/>
    <w:rsid w:val="006A432B"/>
    <w:rsid w:val="006F11FE"/>
    <w:rsid w:val="006F78AA"/>
    <w:rsid w:val="00741B24"/>
    <w:rsid w:val="00755515"/>
    <w:rsid w:val="00772ECA"/>
    <w:rsid w:val="00784CE7"/>
    <w:rsid w:val="007C50B5"/>
    <w:rsid w:val="007E547D"/>
    <w:rsid w:val="00812392"/>
    <w:rsid w:val="00847236"/>
    <w:rsid w:val="00852E9C"/>
    <w:rsid w:val="008A4706"/>
    <w:rsid w:val="008B234B"/>
    <w:rsid w:val="008D3B68"/>
    <w:rsid w:val="0090082D"/>
    <w:rsid w:val="00937773"/>
    <w:rsid w:val="00996CC1"/>
    <w:rsid w:val="00A47613"/>
    <w:rsid w:val="00A67246"/>
    <w:rsid w:val="00A711AA"/>
    <w:rsid w:val="00AC2BA2"/>
    <w:rsid w:val="00AC6311"/>
    <w:rsid w:val="00AD3787"/>
    <w:rsid w:val="00AE3864"/>
    <w:rsid w:val="00B1404C"/>
    <w:rsid w:val="00B523B3"/>
    <w:rsid w:val="00B85ED7"/>
    <w:rsid w:val="00B90445"/>
    <w:rsid w:val="00BC5587"/>
    <w:rsid w:val="00BC715A"/>
    <w:rsid w:val="00BF613D"/>
    <w:rsid w:val="00C25A4A"/>
    <w:rsid w:val="00C269FA"/>
    <w:rsid w:val="00CB0C60"/>
    <w:rsid w:val="00CB2C80"/>
    <w:rsid w:val="00D140FA"/>
    <w:rsid w:val="00D267AE"/>
    <w:rsid w:val="00D74934"/>
    <w:rsid w:val="00D8291F"/>
    <w:rsid w:val="00D83438"/>
    <w:rsid w:val="00DA3618"/>
    <w:rsid w:val="00DD549D"/>
    <w:rsid w:val="00DE2D1D"/>
    <w:rsid w:val="00DE7DAB"/>
    <w:rsid w:val="00E145E1"/>
    <w:rsid w:val="00F2493B"/>
    <w:rsid w:val="00F31C97"/>
    <w:rsid w:val="00F42656"/>
    <w:rsid w:val="00F52544"/>
    <w:rsid w:val="00F5603A"/>
    <w:rsid w:val="00FB4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A2251B"/>
  <w15:docId w15:val="{54A06320-1CF0-4EF8-9125-26E7CC3A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E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F2B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F2B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678"/>
  </w:style>
  <w:style w:type="paragraph" w:styleId="Footer">
    <w:name w:val="footer"/>
    <w:basedOn w:val="Normal"/>
    <w:link w:val="FooterChar"/>
    <w:uiPriority w:val="99"/>
    <w:unhideWhenUsed/>
    <w:rsid w:val="005D3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678"/>
  </w:style>
  <w:style w:type="paragraph" w:styleId="NormalWeb">
    <w:name w:val="Normal (Web)"/>
    <w:basedOn w:val="Normal"/>
    <w:uiPriority w:val="99"/>
    <w:unhideWhenUsed/>
    <w:rsid w:val="005D3678"/>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350003"/>
    <w:rPr>
      <w:sz w:val="16"/>
      <w:szCs w:val="16"/>
    </w:rPr>
  </w:style>
  <w:style w:type="paragraph" w:styleId="CommentText">
    <w:name w:val="annotation text"/>
    <w:basedOn w:val="Normal"/>
    <w:link w:val="CommentTextChar"/>
    <w:uiPriority w:val="99"/>
    <w:semiHidden/>
    <w:unhideWhenUsed/>
    <w:rsid w:val="00350003"/>
    <w:pPr>
      <w:spacing w:line="240" w:lineRule="auto"/>
    </w:pPr>
    <w:rPr>
      <w:sz w:val="20"/>
      <w:szCs w:val="20"/>
    </w:rPr>
  </w:style>
  <w:style w:type="character" w:customStyle="1" w:styleId="CommentTextChar">
    <w:name w:val="Comment Text Char"/>
    <w:basedOn w:val="DefaultParagraphFont"/>
    <w:link w:val="CommentText"/>
    <w:uiPriority w:val="99"/>
    <w:semiHidden/>
    <w:rsid w:val="00350003"/>
    <w:rPr>
      <w:sz w:val="20"/>
      <w:szCs w:val="20"/>
    </w:rPr>
  </w:style>
  <w:style w:type="paragraph" w:styleId="CommentSubject">
    <w:name w:val="annotation subject"/>
    <w:basedOn w:val="CommentText"/>
    <w:next w:val="CommentText"/>
    <w:link w:val="CommentSubjectChar"/>
    <w:uiPriority w:val="99"/>
    <w:semiHidden/>
    <w:unhideWhenUsed/>
    <w:rsid w:val="00350003"/>
    <w:rPr>
      <w:b/>
      <w:bCs/>
    </w:rPr>
  </w:style>
  <w:style w:type="character" w:customStyle="1" w:styleId="CommentSubjectChar">
    <w:name w:val="Comment Subject Char"/>
    <w:basedOn w:val="CommentTextChar"/>
    <w:link w:val="CommentSubject"/>
    <w:uiPriority w:val="99"/>
    <w:semiHidden/>
    <w:rsid w:val="00350003"/>
    <w:rPr>
      <w:b/>
      <w:bCs/>
      <w:sz w:val="20"/>
      <w:szCs w:val="20"/>
    </w:rPr>
  </w:style>
  <w:style w:type="paragraph" w:styleId="BalloonText">
    <w:name w:val="Balloon Text"/>
    <w:basedOn w:val="Normal"/>
    <w:link w:val="BalloonTextChar"/>
    <w:uiPriority w:val="99"/>
    <w:semiHidden/>
    <w:unhideWhenUsed/>
    <w:rsid w:val="003500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003"/>
    <w:rPr>
      <w:rFonts w:ascii="Segoe UI" w:hAnsi="Segoe UI" w:cs="Segoe UI"/>
      <w:sz w:val="18"/>
      <w:szCs w:val="18"/>
    </w:rPr>
  </w:style>
  <w:style w:type="paragraph" w:styleId="ListParagraph">
    <w:name w:val="List Paragraph"/>
    <w:basedOn w:val="Normal"/>
    <w:uiPriority w:val="34"/>
    <w:qFormat/>
    <w:rsid w:val="00350003"/>
    <w:pPr>
      <w:ind w:left="720"/>
      <w:contextualSpacing/>
    </w:pPr>
  </w:style>
  <w:style w:type="character" w:styleId="Hyperlink">
    <w:name w:val="Hyperlink"/>
    <w:basedOn w:val="DefaultParagraphFont"/>
    <w:uiPriority w:val="99"/>
    <w:unhideWhenUsed/>
    <w:rsid w:val="004123B8"/>
    <w:rPr>
      <w:color w:val="0563C1" w:themeColor="hyperlink"/>
      <w:u w:val="single"/>
    </w:rPr>
  </w:style>
  <w:style w:type="table" w:styleId="TableGrid">
    <w:name w:val="Table Grid"/>
    <w:basedOn w:val="TableNormal"/>
    <w:uiPriority w:val="39"/>
    <w:rsid w:val="00AD3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97939"/>
    <w:pPr>
      <w:spacing w:after="0" w:line="240" w:lineRule="auto"/>
    </w:pPr>
  </w:style>
  <w:style w:type="paragraph" w:styleId="NoSpacing">
    <w:name w:val="No Spacing"/>
    <w:uiPriority w:val="1"/>
    <w:qFormat/>
    <w:rsid w:val="006A432B"/>
    <w:pPr>
      <w:spacing w:after="0" w:line="240" w:lineRule="auto"/>
    </w:pPr>
  </w:style>
  <w:style w:type="table" w:customStyle="1" w:styleId="TableGrid1">
    <w:name w:val="Table Grid1"/>
    <w:basedOn w:val="TableNormal"/>
    <w:next w:val="TableGrid"/>
    <w:uiPriority w:val="39"/>
    <w:rsid w:val="006A4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6A432B"/>
    <w:pPr>
      <w:spacing w:after="0" w:line="240" w:lineRule="auto"/>
      <w:ind w:left="720"/>
    </w:pPr>
    <w:rPr>
      <w:rFonts w:ascii="Calibri" w:hAnsi="Calibri" w:cs="Times New Roman"/>
    </w:rPr>
  </w:style>
  <w:style w:type="character" w:customStyle="1" w:styleId="Heading1Char">
    <w:name w:val="Heading 1 Char"/>
    <w:basedOn w:val="DefaultParagraphFont"/>
    <w:link w:val="Heading1"/>
    <w:uiPriority w:val="9"/>
    <w:rsid w:val="00772EC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F1AA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AA5"/>
    <w:rPr>
      <w:rFonts w:asciiTheme="majorHAnsi" w:eastAsiaTheme="majorEastAsia" w:hAnsiTheme="majorHAnsi" w:cstheme="majorBidi"/>
      <w:spacing w:val="-10"/>
      <w:kern w:val="28"/>
      <w:sz w:val="56"/>
      <w:szCs w:val="56"/>
    </w:rPr>
  </w:style>
  <w:style w:type="paragraph" w:customStyle="1" w:styleId="xmsonormal">
    <w:name w:val="x_msonormal"/>
    <w:basedOn w:val="Normal"/>
    <w:rsid w:val="002A466E"/>
    <w:pPr>
      <w:spacing w:after="0" w:line="240" w:lineRule="auto"/>
    </w:pPr>
    <w:rPr>
      <w:rFonts w:ascii="Calibri" w:hAnsi="Calibri" w:cs="Times New Roman"/>
    </w:rPr>
  </w:style>
  <w:style w:type="character" w:customStyle="1" w:styleId="Heading2Char">
    <w:name w:val="Heading 2 Char"/>
    <w:basedOn w:val="DefaultParagraphFont"/>
    <w:link w:val="Heading2"/>
    <w:uiPriority w:val="9"/>
    <w:rsid w:val="003F2BF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F2BFB"/>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DA3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920734">
      <w:bodyDiv w:val="1"/>
      <w:marLeft w:val="0"/>
      <w:marRight w:val="0"/>
      <w:marTop w:val="0"/>
      <w:marBottom w:val="0"/>
      <w:divBdr>
        <w:top w:val="none" w:sz="0" w:space="0" w:color="auto"/>
        <w:left w:val="none" w:sz="0" w:space="0" w:color="auto"/>
        <w:bottom w:val="none" w:sz="0" w:space="0" w:color="auto"/>
        <w:right w:val="none" w:sz="0" w:space="0" w:color="auto"/>
      </w:divBdr>
    </w:div>
    <w:div w:id="17684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ttlechildrenslab.testcatalog.org/"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ttlechildrenslab.testcatalog.org/show/2326274048" TargetMode="External"/><Relationship Id="rId5" Type="http://schemas.openxmlformats.org/officeDocument/2006/relationships/webSettings" Target="webSettings.xml"/><Relationship Id="rId15" Type="http://schemas.openxmlformats.org/officeDocument/2006/relationships/hyperlink" Target="mailto:labclientservices@seattlechildrens.org" TargetMode="External"/><Relationship Id="rId10" Type="http://schemas.openxmlformats.org/officeDocument/2006/relationships/hyperlink" Target="https://seattlechildrenslab.testcatalog.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attlechildrenslab.testcatalog.org/" TargetMode="External"/><Relationship Id="rId14" Type="http://schemas.openxmlformats.org/officeDocument/2006/relationships/hyperlink" Target="mailto:LabGC@seattlechildr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6C756-A65C-4855-8F37-9BAB990D861C}">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274</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Seattle Children's</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cwitto</dc:creator>
  <cp:keywords/>
  <dc:description/>
  <cp:lastModifiedBy>Sternen, Darci</cp:lastModifiedBy>
  <cp:revision>12</cp:revision>
  <dcterms:created xsi:type="dcterms:W3CDTF">2024-06-26T19:20:00Z</dcterms:created>
  <dcterms:modified xsi:type="dcterms:W3CDTF">2024-06-27T01:36:00Z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2020-10-06T16:34:22Z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ebb40c47-35e5-47c3-924a-04b9766d1bd5</vt:lpwstr>
  </property>
  <property fmtid="{D5CDD505-2E9C-101B-9397-08002B2CF9AE}" pid="8" name="MSIP_Label_046da4d3-ba20-4986-879c-49e262eff745_ContentBits">
    <vt:lpwstr>0</vt:lpwstr>
  </property>
</Properties>
</file>